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textAlignment w:val="auto"/>
        <w:rPr>
          <w:rFonts w:hint="eastAsia" w:ascii="黑体" w:hAnsi="黑体" w:eastAsia="黑体" w:cs="黑体"/>
          <w:b w:val="0"/>
          <w:bCs w:val="0"/>
          <w:spacing w:val="15"/>
          <w:sz w:val="32"/>
          <w:szCs w:val="32"/>
          <w:highlight w:val="none"/>
        </w:rPr>
      </w:pPr>
      <w:r>
        <w:rPr>
          <w:rFonts w:hint="eastAsia" w:ascii="黑体" w:hAnsi="黑体" w:eastAsia="黑体" w:cs="黑体"/>
          <w:b w:val="0"/>
          <w:bCs w:val="0"/>
          <w:spacing w:val="15"/>
          <w:sz w:val="32"/>
          <w:szCs w:val="32"/>
          <w:highlight w:val="none"/>
        </w:rPr>
        <w:t>附件</w:t>
      </w:r>
      <w:r>
        <w:rPr>
          <w:rFonts w:hint="eastAsia" w:ascii="黑体" w:hAnsi="黑体" w:eastAsia="黑体" w:cs="黑体"/>
          <w:b w:val="0"/>
          <w:bCs w:val="0"/>
          <w:spacing w:val="15"/>
          <w:sz w:val="32"/>
          <w:szCs w:val="32"/>
          <w:highlight w:val="none"/>
          <w:lang w:val="en-US" w:eastAsia="zh-CN"/>
        </w:rPr>
        <w:t>1</w:t>
      </w: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 w:val="0"/>
          <w:bCs w:val="0"/>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lang w:eastAsia="zh-CN"/>
        </w:rPr>
        <w:t>衢州市总工会</w:t>
      </w:r>
      <w:r>
        <w:rPr>
          <w:rFonts w:hint="eastAsia" w:ascii="方正小标宋简体" w:hAnsi="方正小标宋简体" w:eastAsia="方正小标宋简体" w:cs="方正小标宋简体"/>
          <w:bCs/>
          <w:spacing w:val="15"/>
          <w:sz w:val="44"/>
          <w:szCs w:val="44"/>
          <w:highlight w:val="none"/>
          <w:lang w:val="en-US" w:eastAsia="zh-CN"/>
        </w:rPr>
        <w:t>2022</w:t>
      </w:r>
      <w:r>
        <w:rPr>
          <w:rFonts w:hint="eastAsia" w:ascii="方正小标宋简体" w:hAnsi="方正小标宋简体" w:eastAsia="方正小标宋简体" w:cs="方正小标宋简体"/>
          <w:bCs/>
          <w:spacing w:val="15"/>
          <w:sz w:val="44"/>
          <w:szCs w:val="44"/>
          <w:highlight w:val="none"/>
        </w:rPr>
        <w:t>年</w:t>
      </w:r>
      <w:r>
        <w:rPr>
          <w:rFonts w:hint="eastAsia" w:ascii="方正小标宋简体" w:hAnsi="方正小标宋简体" w:eastAsia="方正小标宋简体" w:cs="方正小标宋简体"/>
          <w:bCs/>
          <w:spacing w:val="15"/>
          <w:sz w:val="44"/>
          <w:szCs w:val="44"/>
          <w:highlight w:val="none"/>
          <w:lang w:val="en-US" w:eastAsia="zh-CN"/>
        </w:rPr>
        <w:t>单位</w:t>
      </w:r>
      <w:r>
        <w:rPr>
          <w:rFonts w:hint="eastAsia" w:ascii="方正小标宋简体" w:hAnsi="方正小标宋简体" w:eastAsia="方正小标宋简体" w:cs="方正小标宋简体"/>
          <w:bCs/>
          <w:spacing w:val="15"/>
          <w:sz w:val="44"/>
          <w:szCs w:val="44"/>
          <w:highlight w:val="none"/>
        </w:rPr>
        <w:t>预算</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590" w:firstLineChars="196"/>
        <w:textAlignment w:val="auto"/>
        <w:outlineLvl w:val="9"/>
        <w:rPr>
          <w:rStyle w:val="9"/>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目录</w:t>
      </w:r>
    </w:p>
    <w:p>
      <w:pPr>
        <w:pStyle w:val="2"/>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highlight w:val="none"/>
        </w:rPr>
      </w:pPr>
      <w:r>
        <w:rPr>
          <w:rFonts w:hint="eastAsia" w:ascii="黑体" w:eastAsia="黑体"/>
          <w:color w:val="000000"/>
          <w:sz w:val="32"/>
          <w:highlight w:val="none"/>
        </w:rPr>
        <w:t>一、</w:t>
      </w:r>
      <w:r>
        <w:rPr>
          <w:rStyle w:val="9"/>
          <w:rFonts w:hint="eastAsia" w:ascii="黑体" w:eastAsia="黑体"/>
          <w:b w:val="0"/>
          <w:color w:val="000000"/>
          <w:sz w:val="32"/>
          <w:szCs w:val="32"/>
          <w:highlight w:val="none"/>
          <w:lang w:eastAsia="zh-CN"/>
        </w:rPr>
        <w:t>单位</w:t>
      </w:r>
      <w:r>
        <w:rPr>
          <w:rStyle w:val="9"/>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二、</w:t>
      </w:r>
      <w:r>
        <w:rPr>
          <w:rStyle w:val="9"/>
          <w:rFonts w:hint="eastAsia" w:ascii="黑体" w:eastAsia="黑体"/>
          <w:b w:val="0"/>
          <w:color w:val="000000"/>
          <w:sz w:val="32"/>
          <w:szCs w:val="32"/>
          <w:highlight w:val="none"/>
          <w:lang w:val="en-US" w:eastAsia="zh-CN"/>
        </w:rPr>
        <w:t>2022</w:t>
      </w:r>
      <w:r>
        <w:rPr>
          <w:rStyle w:val="9"/>
          <w:rFonts w:hint="eastAsia" w:ascii="黑体" w:eastAsia="黑体"/>
          <w:b w:val="0"/>
          <w:color w:val="000000"/>
          <w:sz w:val="32"/>
          <w:szCs w:val="32"/>
          <w:highlight w:val="none"/>
        </w:rPr>
        <w:t>年</w:t>
      </w:r>
      <w:r>
        <w:rPr>
          <w:rStyle w:val="9"/>
          <w:rFonts w:hint="eastAsia" w:ascii="黑体" w:eastAsia="黑体"/>
          <w:b w:val="0"/>
          <w:color w:val="000000"/>
          <w:sz w:val="32"/>
          <w:szCs w:val="32"/>
          <w:highlight w:val="none"/>
          <w:lang w:eastAsia="zh-CN"/>
        </w:rPr>
        <w:t>衢州市总工会</w:t>
      </w:r>
      <w:r>
        <w:rPr>
          <w:rStyle w:val="9"/>
          <w:rFonts w:hint="eastAsia" w:ascii="黑体" w:eastAsia="黑体"/>
          <w:b w:val="0"/>
          <w:color w:val="000000"/>
          <w:sz w:val="32"/>
          <w:szCs w:val="32"/>
          <w:highlight w:val="none"/>
          <w:lang w:val="en-US" w:eastAsia="zh-CN"/>
        </w:rPr>
        <w:t>单位</w:t>
      </w:r>
      <w:r>
        <w:rPr>
          <w:rStyle w:val="9"/>
          <w:rFonts w:hint="eastAsia" w:ascii="黑体" w:eastAsia="黑体"/>
          <w:b w:val="0"/>
          <w:color w:val="000000"/>
          <w:sz w:val="32"/>
          <w:szCs w:val="32"/>
          <w:highlight w:val="none"/>
        </w:rPr>
        <w:t>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r>
        <w:rPr>
          <w:rFonts w:hint="eastAsia" w:ascii="楷体_GB2312" w:hAnsi="楷体_GB2312" w:eastAsia="楷体_GB2312" w:cs="楷体_GB2312"/>
          <w:b w:val="0"/>
          <w:bCs/>
          <w:sz w:val="32"/>
          <w:szCs w:val="32"/>
          <w:highlight w:val="none"/>
        </w:rPr>
        <w:br w:type="textWrapping"/>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hAnsi="Calibri" w:eastAsia="黑体" w:cs="Times New Roman"/>
          <w:b w:val="0"/>
          <w:color w:val="000000"/>
          <w:kern w:val="2"/>
          <w:sz w:val="32"/>
          <w:szCs w:val="32"/>
          <w:highlight w:val="none"/>
          <w:lang w:val="en-US" w:eastAsia="zh-CN" w:bidi="ar-SA"/>
        </w:rPr>
      </w:pPr>
      <w:r>
        <w:rPr>
          <w:rStyle w:val="9"/>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四、</w:t>
      </w:r>
      <w:r>
        <w:rPr>
          <w:rStyle w:val="9"/>
          <w:rFonts w:hint="eastAsia" w:ascii="黑体" w:eastAsia="黑体"/>
          <w:b w:val="0"/>
          <w:color w:val="000000"/>
          <w:sz w:val="32"/>
          <w:szCs w:val="32"/>
          <w:highlight w:val="none"/>
          <w:lang w:val="en-US" w:eastAsia="zh-CN"/>
        </w:rPr>
        <w:t>2022</w:t>
      </w:r>
      <w:r>
        <w:rPr>
          <w:rStyle w:val="9"/>
          <w:rFonts w:hint="eastAsia" w:ascii="黑体" w:eastAsia="黑体"/>
          <w:b w:val="0"/>
          <w:color w:val="000000"/>
          <w:sz w:val="32"/>
          <w:szCs w:val="32"/>
          <w:highlight w:val="none"/>
        </w:rPr>
        <w:t>年</w:t>
      </w:r>
      <w:r>
        <w:rPr>
          <w:rStyle w:val="9"/>
          <w:rFonts w:hint="eastAsia" w:ascii="黑体" w:eastAsia="黑体"/>
          <w:b w:val="0"/>
          <w:color w:val="000000"/>
          <w:sz w:val="32"/>
          <w:szCs w:val="32"/>
          <w:highlight w:val="none"/>
          <w:lang w:eastAsia="zh-CN"/>
        </w:rPr>
        <w:t>衢州市总工会</w:t>
      </w:r>
      <w:r>
        <w:rPr>
          <w:rStyle w:val="9"/>
          <w:rFonts w:hint="eastAsia" w:ascii="黑体" w:eastAsia="黑体"/>
          <w:b w:val="0"/>
          <w:color w:val="000000"/>
          <w:sz w:val="32"/>
          <w:szCs w:val="32"/>
          <w:highlight w:val="none"/>
          <w:lang w:val="en-US" w:eastAsia="zh-CN"/>
        </w:rPr>
        <w:t>单位</w:t>
      </w:r>
      <w:bookmarkStart w:id="0" w:name="_GoBack"/>
      <w:bookmarkEnd w:id="0"/>
      <w:r>
        <w:rPr>
          <w:rStyle w:val="9"/>
          <w:rFonts w:hint="eastAsia" w:ascii="黑体" w:eastAsia="黑体"/>
          <w:b w:val="0"/>
          <w:color w:val="000000"/>
          <w:sz w:val="32"/>
          <w:szCs w:val="32"/>
          <w:highlight w:val="none"/>
          <w:lang w:eastAsia="zh-CN"/>
        </w:rPr>
        <w:t>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（一）2022年市级单位收支预算总表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（二）2022年市级单位收入预算总表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（三）2022年市级单位支出预算总表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（四）2022年市级单位财政拨款收支预算总表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（五）2022年市级单位一般公共预算支出表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（六）2022年市级单位一般公共预算基本支出表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（七）2022年市级单位一般公共预算“三公”经费支出表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（八）2022年市级单位政府性基金预算支出表</w:t>
      </w:r>
    </w:p>
    <w:p>
      <w:pPr>
        <w:pStyle w:val="2"/>
        <w:rPr>
          <w:rFonts w:hint="default"/>
          <w:lang w:val="en-US" w:eastAsia="zh-CN"/>
        </w:rPr>
      </w:pPr>
      <w:r>
        <w:rPr>
          <w:rFonts w:hint="eastAsia" w:ascii="楷体_GB2312" w:hAnsi="楷体_GB2312" w:eastAsia="楷体_GB2312" w:cs="楷体_GB2312"/>
          <w:b w:val="0"/>
          <w:bCs/>
          <w:sz w:val="32"/>
          <w:szCs w:val="32"/>
          <w:highlight w:val="none"/>
          <w:lang w:val="en-US" w:eastAsia="zh-CN"/>
        </w:rPr>
        <w:t xml:space="preserve">   （九）2022年市级单位国有资本经营预算支出表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（十）2022年市级单位项目支出预算表</w:t>
      </w:r>
    </w:p>
    <w:p>
      <w:pPr>
        <w:autoSpaceDE w:val="0"/>
        <w:autoSpaceDN w:val="0"/>
        <w:adjustRightInd w:val="0"/>
        <w:ind w:leftChars="200"/>
        <w:jc w:val="left"/>
        <w:rPr>
          <w:rFonts w:hint="default" w:ascii="楷体_GB2312" w:hAnsi="楷体_GB2312" w:eastAsia="楷体_GB2312" w:cs="楷体_GB2312"/>
          <w:b w:val="0"/>
          <w:bCs/>
          <w:sz w:val="32"/>
          <w:szCs w:val="32"/>
          <w:highlight w:val="yellow"/>
          <w:lang w:val="en-US" w:eastAsia="zh-CN"/>
        </w:rPr>
      </w:pPr>
      <w:r>
        <w:rPr>
          <w:rFonts w:hint="eastAsia" w:ascii="楷体_GB2312" w:hAnsi="楷体_GB2312" w:eastAsia="楷体_GB2312" w:cs="楷体_GB2312"/>
          <w:b w:val="0"/>
          <w:bCs/>
          <w:sz w:val="32"/>
          <w:szCs w:val="32"/>
          <w:highlight w:val="none"/>
          <w:lang w:val="en-US" w:eastAsia="zh-CN"/>
        </w:rPr>
        <w:t>（十一）2022年市级部门预算财政拨款重点项目支出预算表</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9"/>
          <w:rFonts w:hint="eastAsia" w:ascii="黑体" w:eastAsia="黑体"/>
          <w:b w:val="0"/>
          <w:color w:val="000000"/>
          <w:sz w:val="32"/>
          <w:szCs w:val="32"/>
          <w:highlight w:val="none"/>
        </w:rPr>
      </w:pPr>
      <w:r>
        <w:rPr>
          <w:rStyle w:val="9"/>
          <w:rFonts w:hint="eastAsia" w:ascii="黑体" w:eastAsia="黑体"/>
          <w:b w:val="0"/>
          <w:color w:val="000000"/>
          <w:sz w:val="32"/>
          <w:szCs w:val="32"/>
          <w:highlight w:val="none"/>
        </w:rPr>
        <w:t>一、</w:t>
      </w:r>
      <w:r>
        <w:rPr>
          <w:rStyle w:val="9"/>
          <w:rFonts w:hint="eastAsia" w:ascii="黑体" w:eastAsia="黑体"/>
          <w:b w:val="0"/>
          <w:color w:val="000000"/>
          <w:sz w:val="32"/>
          <w:szCs w:val="32"/>
          <w:highlight w:val="none"/>
          <w:lang w:eastAsia="zh-CN"/>
        </w:rPr>
        <w:t>单位</w:t>
      </w:r>
      <w:r>
        <w:rPr>
          <w:rStyle w:val="9"/>
          <w:rFonts w:hint="eastAsia" w:ascii="黑体" w:eastAsia="黑体"/>
          <w:b w:val="0"/>
          <w:color w:val="000000"/>
          <w:sz w:val="32"/>
          <w:szCs w:val="32"/>
          <w:highlight w:val="none"/>
        </w:rPr>
        <w:t>概况</w:t>
      </w:r>
    </w:p>
    <w:p>
      <w:pPr>
        <w:keepNext w:val="0"/>
        <w:keepLines w:val="0"/>
        <w:pageBreakBefore w:val="0"/>
        <w:shd w:val="clear"/>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（1）贯彻落实党的工运方针，确定全市工会工作的任务，指导全市工会工作。负责工运理论、政策的研究。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（2）依据法律和工会章程，组织、指导全市各级工会履行工会的维护、建设、参与、教育等社会职能。贯彻执行中国工会、全省工会、全市工会代表大会的决议，开展工会各项工作。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（3）对有关职工利益重大问题进行调查研究，向市委、市政府和省总工会反映全市职工群众的愿望和要求，并提出意见建议。参与涉及全市职工切身利益的有关政策、措施和制度的制定。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（4）组织动员职工开展劳动竞赛、合理化建议、技术革新、技能比武等活动。研究全市职工在劳动中的安全健康和劳动保护工作状况，发挥工会监督、指导和服务作用，参与职工重大伤亡事故的调查处理。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5）指导全市各级工会加强自身建设和改革。研究制定全市工作的各项组织、建设制度。推进基层工会规范化建设，重点加强“两新”组织等领域工作组织建设。开展网上工会工作，建设符合广大职工需求的网上职工之家，打造工会工作服务品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（6）动员和组织职工参与社会治安综合治理、社区管理、平安创建、和谐企业建设。发挥工会组织枢纽作用，培育发展相关社会组织，联系引导职工服务类社会组织。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（7）研究全市劳动关系领域新情况新问题，指导完善职工代表大会、平等协商和集体合同制度，会同协调有关部门，建立健全劳动争议预防、预警、调处机制，构建和谐劳动关系。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（8）协助市政府做好市劳动模范的推荐、评选工作，负责劳动模范的服务工作，组织开展市“五一”劳动奖章、奖状的评选表彰。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（9）开展职工宣传思想工作和素质提升工作，宣传弘扬劳模精神、劳动精神、工匠精神。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（10）监督检查工会法、劳动法、劳动合同法、中国工会章程、浙江省工会劳动法律监督条例、浙江省集体合同条例和浙江省企业民主管理条例等的贯彻执行。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11）协同各县（市、区）党委和市直有关单位党委（党组）、市属企业党组织协商推荐同级工会领导班子人选。负责工会经费的收缴、管理、使用、审查和审计工作。制定全市兴办和管理工会事业发展的有关政策、规定，负责全市工会企事业发展的指导和协调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（12）承担市委、市政府交办的其他任务。</w:t>
      </w:r>
    </w:p>
    <w:p>
      <w:pPr>
        <w:keepNext w:val="0"/>
        <w:keepLines w:val="0"/>
        <w:pageBreakBefore w:val="0"/>
        <w:shd w:val="clear"/>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kern w:val="0"/>
          <w:sz w:val="32"/>
          <w:szCs w:val="32"/>
          <w:shd w:val="clear"/>
          <w:lang w:val="en-US" w:eastAsia="zh-CN" w:bidi="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从预算单位构成看，衢州市总工会单位预算包括：衢州市总工会本级预算。</w:t>
      </w:r>
    </w:p>
    <w:p>
      <w:pPr>
        <w:keepNext w:val="0"/>
        <w:keepLines w:val="0"/>
        <w:pageBreakBefore w:val="0"/>
        <w:numPr>
          <w:ilvl w:val="0"/>
          <w:numId w:val="0"/>
        </w:numPr>
        <w:shd w:val="clear"/>
        <w:kinsoku/>
        <w:wordWrap/>
        <w:overflowPunct/>
        <w:topLinePunct w:val="0"/>
        <w:autoSpaceDE/>
        <w:autoSpaceDN/>
        <w:bidi w:val="0"/>
        <w:adjustRightInd/>
        <w:snapToGrid/>
        <w:spacing w:beforeLines="0" w:afterLines="0" w:line="520" w:lineRule="exact"/>
        <w:ind w:right="0" w:rightChars="0" w:firstLine="640" w:firstLineChars="0"/>
        <w:textAlignment w:val="auto"/>
        <w:outlineLvl w:val="9"/>
        <w:rPr>
          <w:rFonts w:hint="eastAsia" w:ascii="楷体_GB2312" w:hAnsi="楷体_GB2312" w:eastAsia="楷体_GB2312" w:cs="楷体_GB2312"/>
          <w:b/>
          <w:color w:val="000000"/>
          <w:sz w:val="32"/>
          <w:szCs w:val="32"/>
          <w:highlight w:val="none"/>
          <w:lang w:val="en-US" w:eastAsia="zh-CN"/>
        </w:rPr>
      </w:pPr>
      <w:r>
        <w:rPr>
          <w:rStyle w:val="9"/>
          <w:rFonts w:hint="eastAsia" w:ascii="黑体" w:eastAsia="黑体"/>
          <w:b w:val="0"/>
          <w:color w:val="000000"/>
          <w:sz w:val="32"/>
          <w:szCs w:val="32"/>
          <w:highlight w:val="none"/>
          <w:lang w:eastAsia="zh-CN"/>
        </w:rPr>
        <w:t>二、</w:t>
      </w:r>
      <w:r>
        <w:rPr>
          <w:rStyle w:val="9"/>
          <w:rFonts w:hint="eastAsia" w:ascii="黑体" w:eastAsia="黑体"/>
          <w:b w:val="0"/>
          <w:color w:val="000000"/>
          <w:sz w:val="32"/>
          <w:szCs w:val="32"/>
          <w:highlight w:val="none"/>
          <w:lang w:val="en-US" w:eastAsia="zh-CN"/>
        </w:rPr>
        <w:t>2022</w:t>
      </w:r>
      <w:r>
        <w:rPr>
          <w:rStyle w:val="9"/>
          <w:rFonts w:hint="eastAsia" w:ascii="黑体" w:eastAsia="黑体"/>
          <w:b w:val="0"/>
          <w:color w:val="000000"/>
          <w:sz w:val="32"/>
          <w:szCs w:val="32"/>
          <w:highlight w:val="none"/>
        </w:rPr>
        <w:t>年</w:t>
      </w:r>
      <w:r>
        <w:rPr>
          <w:rStyle w:val="9"/>
          <w:rFonts w:hint="eastAsia" w:ascii="黑体" w:eastAsia="黑体"/>
          <w:b w:val="0"/>
          <w:color w:val="000000"/>
          <w:sz w:val="32"/>
          <w:szCs w:val="32"/>
          <w:highlight w:val="none"/>
          <w:lang w:eastAsia="zh-CN"/>
        </w:rPr>
        <w:t>衢州市总工会局</w:t>
      </w:r>
      <w:r>
        <w:rPr>
          <w:rStyle w:val="9"/>
          <w:rFonts w:hint="eastAsia" w:ascii="黑体" w:eastAsia="黑体"/>
          <w:b w:val="0"/>
          <w:color w:val="000000"/>
          <w:sz w:val="32"/>
          <w:szCs w:val="32"/>
          <w:highlight w:val="none"/>
          <w:lang w:val="en-US" w:eastAsia="zh-CN"/>
        </w:rPr>
        <w:t>单位</w:t>
      </w:r>
      <w:r>
        <w:rPr>
          <w:rStyle w:val="9"/>
          <w:rFonts w:hint="eastAsia" w:ascii="黑体" w:eastAsia="黑体"/>
          <w:b w:val="0"/>
          <w:color w:val="000000"/>
          <w:sz w:val="32"/>
          <w:szCs w:val="32"/>
          <w:highlight w:val="none"/>
        </w:rPr>
        <w:t>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衢州市总工会</w:t>
      </w:r>
      <w:r>
        <w:rPr>
          <w:rStyle w:val="9"/>
          <w:rFonts w:hint="eastAsia" w:ascii="楷体_GB2312" w:hAnsi="楷体_GB2312" w:eastAsia="楷体_GB2312" w:cs="楷体_GB2312"/>
          <w:b w:val="0"/>
          <w:bCs w:val="0"/>
          <w:color w:val="000000"/>
          <w:sz w:val="32"/>
          <w:szCs w:val="32"/>
          <w:highlight w:val="none"/>
          <w:lang w:val="en-US" w:eastAsia="zh-CN"/>
        </w:rPr>
        <w:t>2022</w:t>
      </w:r>
      <w:r>
        <w:rPr>
          <w:rStyle w:val="9"/>
          <w:rFonts w:hint="eastAsia" w:ascii="楷体_GB2312" w:hAnsi="楷体_GB2312" w:eastAsia="楷体_GB2312" w:cs="楷体_GB2312"/>
          <w:b w:val="0"/>
          <w:bCs w:val="0"/>
          <w:color w:val="000000"/>
          <w:sz w:val="32"/>
          <w:szCs w:val="32"/>
          <w:highlight w:val="none"/>
        </w:rPr>
        <w:t>年</w:t>
      </w:r>
      <w:r>
        <w:rPr>
          <w:rStyle w:val="9"/>
          <w:rFonts w:hint="eastAsia" w:ascii="楷体_GB2312" w:hAnsi="楷体_GB2312" w:eastAsia="楷体_GB2312" w:cs="楷体_GB2312"/>
          <w:b w:val="0"/>
          <w:bCs w:val="0"/>
          <w:color w:val="000000"/>
          <w:sz w:val="32"/>
          <w:szCs w:val="32"/>
          <w:highlight w:val="none"/>
          <w:lang w:eastAsia="zh-CN"/>
        </w:rPr>
        <w:t>收支预算情况的总体说明</w:t>
      </w:r>
      <w:r>
        <w:rPr>
          <w:rFonts w:hint="eastAsia" w:ascii="楷体_GB2312" w:hAnsi="楷体_GB2312" w:eastAsia="楷体_GB2312" w:cs="楷体_GB2312"/>
          <w:b/>
          <w:color w:val="000000"/>
          <w:sz w:val="32"/>
          <w:szCs w:val="32"/>
          <w:highlight w:val="none"/>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kern w:val="0"/>
          <w:sz w:val="32"/>
          <w:szCs w:val="32"/>
          <w:shd w:val="clear"/>
          <w:lang w:val="en-US" w:eastAsia="zh-CN" w:bidi="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按照综合预算的原则，衢州市总工会所有收入和支出均纳入部门（单位）预算管理。收入包括：一般公共预算拨款收入、事业收入（根据表01实际情况表述）；支出包括：一般公共服务支出、社会保障和就业支出、住房保障支出（根据表01实际情况表述）。衢州市总工会2021年收支总预算1430.94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衢州市总工会</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default" w:ascii="仿宋_GB2312" w:eastAsia="仿宋_GB2312"/>
          <w:color w:val="FF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衢州市总工会</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rPr>
        <w:t>年收入预算</w:t>
      </w:r>
      <w:r>
        <w:rPr>
          <w:rFonts w:hint="eastAsia" w:ascii="仿宋_GB2312" w:hAnsi="仿宋_GB2312" w:eastAsia="仿宋_GB2312" w:cs="仿宋_GB2312"/>
          <w:color w:val="000000"/>
          <w:sz w:val="32"/>
          <w:szCs w:val="32"/>
          <w:highlight w:val="none"/>
          <w:lang w:val="en-US" w:eastAsia="zh-CN"/>
        </w:rPr>
        <w:t>1430.94</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000000"/>
          <w:sz w:val="32"/>
          <w:szCs w:val="32"/>
          <w:highlight w:val="none"/>
          <w:lang w:val="en-US" w:eastAsia="zh-CN"/>
        </w:rPr>
        <w:t>减</w:t>
      </w:r>
      <w:r>
        <w:rPr>
          <w:rFonts w:hint="eastAsia" w:ascii="仿宋_GB2312" w:hAnsi="仿宋_GB2312" w:eastAsia="仿宋_GB2312" w:cs="仿宋_GB2312"/>
          <w:color w:val="000000"/>
          <w:sz w:val="32"/>
          <w:szCs w:val="32"/>
          <w:highlight w:val="none"/>
          <w:lang w:eastAsia="zh-CN"/>
        </w:rPr>
        <w:t>少</w:t>
      </w:r>
      <w:r>
        <w:rPr>
          <w:rFonts w:hint="eastAsia" w:ascii="仿宋_GB2312" w:hAnsi="仿宋_GB2312" w:eastAsia="仿宋_GB2312" w:cs="仿宋_GB2312"/>
          <w:color w:val="000000"/>
          <w:sz w:val="32"/>
          <w:szCs w:val="32"/>
          <w:highlight w:val="none"/>
          <w:lang w:val="en-US" w:eastAsia="zh-CN"/>
        </w:rPr>
        <w:t>48.87万元，下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3.41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主要是劳模特殊困难帮扶及劳模津贴省级转移支付预算减少，丧葬费抚恤金减少。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val="en-US" w:eastAsia="zh-CN"/>
        </w:rPr>
        <w:t>423.76</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29.61</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事业收入</w:t>
      </w:r>
      <w:r>
        <w:rPr>
          <w:rFonts w:hint="eastAsia" w:ascii="仿宋_GB2312" w:eastAsia="仿宋_GB2312"/>
          <w:color w:val="000000"/>
          <w:sz w:val="32"/>
          <w:szCs w:val="32"/>
          <w:highlight w:val="none"/>
          <w:lang w:val="en-US" w:eastAsia="zh-CN"/>
        </w:rPr>
        <w:t>1007.18</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70.39</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default" w:ascii="仿宋_GB2312" w:eastAsia="仿宋_GB2312"/>
          <w:color w:val="FF0000"/>
          <w:sz w:val="32"/>
          <w:szCs w:val="32"/>
          <w:highlight w:val="none"/>
          <w:lang w:val="en-US" w:eastAsia="zh-CN"/>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三</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衢州市总工会</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年支出预算</w:t>
      </w:r>
      <w:r>
        <w:rPr>
          <w:rFonts w:hint="eastAsia" w:ascii="楷体_GB2312" w:hAnsi="楷体_GB2312" w:eastAsia="楷体_GB2312" w:cs="楷体_GB2312"/>
          <w:b w:val="0"/>
          <w:bCs/>
          <w:color w:val="000000"/>
          <w:sz w:val="32"/>
          <w:szCs w:val="32"/>
          <w:highlight w:val="none"/>
          <w:lang w:eastAsia="zh-CN"/>
        </w:rPr>
        <w:t>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衢州市总工会</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rPr>
        <w:t>年支出预算</w:t>
      </w:r>
      <w:r>
        <w:rPr>
          <w:rFonts w:hint="eastAsia" w:ascii="仿宋_GB2312" w:hAnsi="仿宋_GB2312" w:eastAsia="仿宋_GB2312" w:cs="仿宋_GB2312"/>
          <w:color w:val="000000"/>
          <w:sz w:val="32"/>
          <w:szCs w:val="32"/>
          <w:highlight w:val="none"/>
          <w:lang w:val="en-US" w:eastAsia="zh-CN"/>
        </w:rPr>
        <w:t>1430.94</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000000"/>
          <w:sz w:val="32"/>
          <w:szCs w:val="32"/>
          <w:highlight w:val="none"/>
          <w:lang w:val="en-US" w:eastAsia="zh-CN"/>
        </w:rPr>
        <w:t>减</w:t>
      </w:r>
      <w:r>
        <w:rPr>
          <w:rFonts w:hint="eastAsia" w:ascii="仿宋_GB2312" w:hAnsi="仿宋_GB2312" w:eastAsia="仿宋_GB2312" w:cs="仿宋_GB2312"/>
          <w:color w:val="000000"/>
          <w:sz w:val="32"/>
          <w:szCs w:val="32"/>
          <w:highlight w:val="none"/>
          <w:lang w:eastAsia="zh-CN"/>
        </w:rPr>
        <w:t>少</w:t>
      </w:r>
      <w:r>
        <w:rPr>
          <w:rFonts w:hint="eastAsia" w:ascii="仿宋_GB2312" w:hAnsi="仿宋_GB2312" w:eastAsia="仿宋_GB2312" w:cs="仿宋_GB2312"/>
          <w:color w:val="000000"/>
          <w:sz w:val="32"/>
          <w:szCs w:val="32"/>
          <w:highlight w:val="none"/>
          <w:lang w:val="en-US" w:eastAsia="zh-CN"/>
        </w:rPr>
        <w:t>48.87万元，下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3.41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主要是劳模特殊困难帮扶及劳模津贴省级转移收入预算减少，丧葬费抚恤金减少。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1.按支出功能分类，包括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lang w:val="en-US" w:eastAsia="zh-CN"/>
        </w:rPr>
        <w:t>1149.54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val="en-US" w:eastAsia="zh-CN"/>
        </w:rPr>
        <w:t>177.51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val="en-US" w:eastAsia="zh-CN"/>
        </w:rPr>
        <w:t>103.89</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lang w:val="en-US" w:eastAsia="zh-CN"/>
        </w:rPr>
        <w:t>1069.82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74.76</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；日常公用支出</w:t>
      </w:r>
      <w:r>
        <w:rPr>
          <w:rFonts w:hint="eastAsia" w:ascii="仿宋_GB2312" w:eastAsia="仿宋_GB2312"/>
          <w:color w:val="000000"/>
          <w:sz w:val="32"/>
          <w:szCs w:val="32"/>
          <w:highlight w:val="none"/>
          <w:lang w:val="en-US" w:eastAsia="zh-CN"/>
        </w:rPr>
        <w:t>93.01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6.5</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项目支出</w:t>
      </w:r>
      <w:r>
        <w:rPr>
          <w:rFonts w:hint="eastAsia" w:ascii="仿宋_GB2312" w:eastAsia="仿宋_GB2312"/>
          <w:color w:val="000000"/>
          <w:sz w:val="32"/>
          <w:szCs w:val="32"/>
          <w:highlight w:val="none"/>
          <w:lang w:val="en-US" w:eastAsia="zh-CN"/>
        </w:rPr>
        <w:t>268.10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18.74</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default" w:ascii="仿宋_GB2312" w:eastAsia="仿宋_GB2312"/>
          <w:color w:val="FF0000"/>
          <w:sz w:val="32"/>
          <w:szCs w:val="32"/>
          <w:highlight w:val="none"/>
          <w:lang w:val="en-US" w:eastAsia="zh-CN"/>
        </w:rPr>
      </w:pPr>
      <w:r>
        <w:rPr>
          <w:rFonts w:hint="eastAsia" w:ascii="仿宋_GB2312" w:eastAsia="仿宋_GB2312"/>
          <w:color w:val="000000"/>
          <w:sz w:val="32"/>
          <w:szCs w:val="32"/>
          <w:highlight w:val="none"/>
          <w:lang w:eastAsia="zh-CN"/>
        </w:rPr>
        <w:t>结转下年</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关于衢州市总工会</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衢州市总工会</w:t>
      </w:r>
      <w:r>
        <w:rPr>
          <w:rFonts w:hint="eastAsia" w:ascii="仿宋_GB2312" w:eastAsia="仿宋_GB2312"/>
          <w:color w:val="000000"/>
          <w:sz w:val="32"/>
          <w:szCs w:val="32"/>
          <w:highlight w:val="none"/>
          <w:lang w:val="en-US" w:eastAsia="zh-CN"/>
        </w:rPr>
        <w:t>2022年财政拨款收支总预算423.76万元。收入包括：一般公共预算423.76万元；支出包括：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lang w:val="en-US" w:eastAsia="zh-CN"/>
        </w:rPr>
        <w:t>333.10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val="en-US" w:eastAsia="zh-CN"/>
        </w:rPr>
        <w:t>85.66</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关于衢州市总工会</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衢州市总工会</w:t>
      </w:r>
      <w:r>
        <w:rPr>
          <w:rFonts w:hint="eastAsia" w:ascii="仿宋_GB2312" w:hAnsi="仿宋_GB2312" w:eastAsia="仿宋_GB2312" w:cs="仿宋_GB2312"/>
          <w:color w:val="000000"/>
          <w:sz w:val="32"/>
          <w:szCs w:val="32"/>
          <w:highlight w:val="none"/>
          <w:lang w:val="en-US" w:eastAsia="zh-CN"/>
        </w:rPr>
        <w:t>2022年一般公共预算当年拨款423.76万元，比上年执行数减少112.37万元，下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26.52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主要是劳模特殊困难帮扶及劳模津贴省级转移收入预算减少，丧葬费抚恤金减少。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一般公共服务（类）支出</w:t>
      </w:r>
      <w:r>
        <w:rPr>
          <w:rFonts w:hint="eastAsia" w:ascii="仿宋_GB2312" w:hAnsi="仿宋_GB2312" w:eastAsia="仿宋_GB2312" w:cs="仿宋_GB2312"/>
          <w:color w:val="000000"/>
          <w:sz w:val="32"/>
          <w:szCs w:val="32"/>
          <w:highlight w:val="none"/>
          <w:lang w:val="en-US" w:eastAsia="zh-CN"/>
        </w:rPr>
        <w:t>333.10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78.61</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；社会保障和就业（类）支出</w:t>
      </w:r>
      <w:r>
        <w:rPr>
          <w:rFonts w:hint="eastAsia" w:ascii="仿宋_GB2312" w:hAnsi="仿宋_GB2312" w:eastAsia="仿宋_GB2312" w:cs="仿宋_GB2312"/>
          <w:color w:val="000000"/>
          <w:sz w:val="32"/>
          <w:szCs w:val="32"/>
          <w:highlight w:val="none"/>
          <w:lang w:val="en-US" w:eastAsia="zh-CN"/>
        </w:rPr>
        <w:t>85.66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；住房保障（类）支出</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1.18</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lang w:val="en-US" w:eastAsia="zh-CN"/>
        </w:rPr>
        <w:t>3.一般公共预算当年拨款具体使用情况。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（1）一般公共服务支出（类）群众团体事务（款）行政运行（群众团体事务）（项）事务65万元，主要用于在职、离休人员的工资奖金发放。</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一般公共服务支出（类）群众团体事务（款）其他群众团体事务支出（项）事务268.10万元，主要用于工会集中经费、劳模特殊困难帮扶及劳模津贴专项资金、劳模慰问帮扶财政专项资金共3个项目的工作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（3）社会保障和就业支出（类）行政事业离退休（款）其他行政事业单位离退休支出（项）事务85.66万元，主要用于离退休、退职人员支出。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（4）住房保障支出（类）住房改革支出（款）住房公积金（项）事务5万元，主要用于在职人员公积金补助。</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（六）</w:t>
      </w:r>
      <w:r>
        <w:rPr>
          <w:rFonts w:hint="eastAsia" w:ascii="楷体_GB2312" w:hAnsi="楷体_GB2312" w:eastAsia="楷体_GB2312" w:cs="楷体_GB2312"/>
          <w:b w:val="0"/>
          <w:bCs/>
          <w:color w:val="000000"/>
          <w:sz w:val="32"/>
          <w:szCs w:val="32"/>
          <w:highlight w:val="none"/>
          <w:lang w:eastAsia="zh-CN"/>
        </w:rPr>
        <w:t>关于衢州市总工会</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衢州市总工会</w:t>
      </w:r>
      <w:r>
        <w:rPr>
          <w:rFonts w:hint="eastAsia" w:ascii="仿宋_GB2312" w:eastAsia="仿宋_GB2312"/>
          <w:color w:val="000000"/>
          <w:sz w:val="32"/>
          <w:szCs w:val="32"/>
          <w:highlight w:val="none"/>
          <w:lang w:val="en-US" w:eastAsia="zh-CN"/>
        </w:rPr>
        <w:t>2022</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val="en-US" w:eastAsia="zh-CN"/>
        </w:rPr>
        <w:t>155.66万元，其中：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olor w:val="000000"/>
          <w:sz w:val="32"/>
          <w:szCs w:val="32"/>
          <w:highlight w:val="none"/>
          <w:lang w:val="en-US" w:eastAsia="zh-CN"/>
        </w:rPr>
        <w:t>155.66</w:t>
      </w:r>
      <w:r>
        <w:rPr>
          <w:rFonts w:hint="eastAsia" w:ascii="仿宋_GB2312" w:eastAsia="仿宋_GB2312" w:cs="Times New Roman"/>
          <w:b w:val="0"/>
          <w:color w:val="000000"/>
          <w:sz w:val="32"/>
          <w:szCs w:val="32"/>
          <w:highlight w:val="none"/>
          <w:lang w:val="en-US" w:eastAsia="zh-CN"/>
        </w:rPr>
        <w:t>万元，主要包括：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其他对个人和家庭的补助。</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（七）关于衢州市总工会</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政府性基金预算支出情况说明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衢州市总工会2021年没有使用政府性基金预算拨款安排的支出。</w:t>
      </w:r>
    </w:p>
    <w:p>
      <w:pPr>
        <w:keepNext w:val="0"/>
        <w:keepLines w:val="0"/>
        <w:pageBreakBefore w:val="0"/>
        <w:kinsoku/>
        <w:wordWrap/>
        <w:overflowPunct/>
        <w:topLinePunct w:val="0"/>
        <w:autoSpaceDE w:val="0"/>
        <w:autoSpaceDN w:val="0"/>
        <w:bidi w:val="0"/>
        <w:adjustRightInd w:val="0"/>
        <w:snapToGrid/>
        <w:spacing w:line="520" w:lineRule="exact"/>
        <w:ind w:leftChars="200"/>
        <w:jc w:val="left"/>
        <w:textAlignment w:val="auto"/>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（八）</w:t>
      </w:r>
      <w:r>
        <w:rPr>
          <w:rFonts w:hint="eastAsia" w:ascii="楷体_GB2312" w:hAnsi="楷体_GB2312" w:eastAsia="楷体_GB2312" w:cs="楷体_GB2312"/>
          <w:b w:val="0"/>
          <w:bCs/>
          <w:sz w:val="32"/>
          <w:szCs w:val="32"/>
          <w:highlight w:val="none"/>
          <w:lang w:eastAsia="zh-CN"/>
        </w:rPr>
        <w:t>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仿宋_GB2312" w:hAnsi="仿宋_GB2312" w:eastAsia="仿宋_GB2312" w:cs="仿宋_GB2312"/>
          <w:b w:val="0"/>
          <w:color w:val="000000"/>
          <w:sz w:val="32"/>
          <w:szCs w:val="32"/>
          <w:highlight w:val="none"/>
          <w:lang w:eastAsia="zh-CN"/>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衢州市总工会</w:t>
      </w:r>
      <w:r>
        <w:rPr>
          <w:rFonts w:hint="eastAsia" w:ascii="仿宋_GB2312" w:hAnsi="仿宋_GB2312" w:eastAsia="仿宋_GB2312" w:cs="仿宋_GB2312"/>
          <w:color w:val="000000"/>
          <w:sz w:val="32"/>
          <w:szCs w:val="32"/>
          <w:highlight w:val="none"/>
          <w:lang w:val="en-US" w:eastAsia="zh-CN"/>
        </w:rPr>
        <w:t>2022年没有使用国有资本经营预算拨款安排的支出。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lang w:eastAsia="zh-CN"/>
        </w:rPr>
        <w:t>（九）关于衢州市总工会</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衢州市总工会</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lang w:eastAsia="zh-CN"/>
        </w:rPr>
        <w:t>年“三公”经费预算数为</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eastAsia="zh-CN"/>
        </w:rPr>
        <w:t>万元，</w:t>
      </w:r>
      <w:r>
        <w:rPr>
          <w:rFonts w:hint="eastAsia" w:ascii="仿宋_GB2312" w:hAnsi="仿宋_GB2312" w:eastAsia="仿宋_GB2312" w:cs="仿宋_GB2312"/>
          <w:color w:val="000000"/>
          <w:sz w:val="32"/>
          <w:szCs w:val="32"/>
          <w:highlight w:val="none"/>
          <w:lang w:val="en-US" w:eastAsia="zh-CN"/>
        </w:rPr>
        <w:t>比上年执行数增加0万元，增长0%</w:t>
      </w:r>
      <w:r>
        <w:rPr>
          <w:rFonts w:hint="eastAsia" w:ascii="仿宋_GB2312" w:hAnsi="仿宋_GB2312" w:eastAsia="仿宋_GB2312" w:cs="仿宋_GB2312"/>
          <w:color w:val="000000"/>
          <w:sz w:val="32"/>
          <w:szCs w:val="32"/>
          <w:highlight w:val="none"/>
          <w:lang w:eastAsia="zh-CN"/>
        </w:rPr>
        <w:t>，具体如下：</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因公出国（境）费用：根据市委外办安排的因公出国计划和实际工作需要，2021年安排因公出国（境）费用预算0万元，与上年执行数持平，比上年执行数增长0万元。主要用于机关及下属预算单位人员等公务出国（境）的国际旅费、国外城市间交通费、住宿费、伙食费、培训费、公杂费等支出。2021年因公出国境费用预算无增减变化，主要原因是财政未安排因公出国境费用预算。</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2.公务接待费：2021年安排公务接待费预算0万元，比与上年执行数持平，比上年执行数增长0万元。主要用于接待等支出。2021年公务接待费预算无增减变化，主要原因是财政未安排公务接待费预算。</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公务用车购置及运行维护费：2021年安排公务用车购置及运行维护费预算0万元，与上年执行数持平，比上年执行数增长0万元。其中，公务用车购置支出0万元（含购置税等附加费用），主要用于经批准购置的0辆公务用车；公务用车运行维护费支出0万元，主要用于所需的公务用车燃料费、维修费、过桥过路费、保险费、安全奖励费用等支出。主要原因是公车改革后单位无公车，没有公务用车购置及运行维护费开支。 </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jc w:val="both"/>
        <w:textAlignment w:val="auto"/>
        <w:outlineLvl w:val="9"/>
        <w:rPr>
          <w:rFonts w:hint="eastAsia" w:ascii="仿宋_GB2312" w:hAnsi="仿宋_GB2312" w:eastAsia="仿宋_GB2312" w:cs="仿宋_GB2312"/>
          <w:b/>
          <w:bCs w:val="0"/>
          <w:color w:val="000000"/>
          <w:sz w:val="32"/>
          <w:szCs w:val="32"/>
          <w:highlight w:val="none"/>
          <w:u w:val="none"/>
          <w:lang w:val="en-US" w:eastAsia="zh-CN"/>
        </w:rPr>
      </w:pPr>
      <w:r>
        <w:rPr>
          <w:rFonts w:hint="eastAsia" w:ascii="仿宋_GB2312" w:hAnsi="仿宋_GB2312" w:eastAsia="仿宋_GB2312" w:cs="仿宋_GB2312"/>
          <w:b/>
          <w:bCs w:val="0"/>
          <w:color w:val="000000"/>
          <w:sz w:val="32"/>
          <w:szCs w:val="32"/>
          <w:highlight w:val="none"/>
          <w:u w:val="none"/>
          <w:lang w:val="en-US" w:eastAsia="zh-CN"/>
        </w:rPr>
        <w:t>1.</w:t>
      </w:r>
      <w:r>
        <w:rPr>
          <w:rFonts w:hint="eastAsia" w:ascii="仿宋_GB2312" w:hAnsi="仿宋_GB2312" w:eastAsia="仿宋_GB2312" w:cs="仿宋_GB2312"/>
          <w:b/>
          <w:bCs w:val="0"/>
          <w:color w:val="000000"/>
          <w:sz w:val="32"/>
          <w:szCs w:val="32"/>
          <w:highlight w:val="none"/>
          <w:u w:val="none"/>
          <w:lang w:eastAsia="zh-CN"/>
        </w:rPr>
        <w:t>机关运行经费（</w:t>
      </w:r>
      <w:r>
        <w:rPr>
          <w:rFonts w:hint="eastAsia" w:ascii="仿宋_GB2312" w:hAnsi="仿宋_GB2312" w:eastAsia="仿宋_GB2312" w:cs="仿宋_GB2312"/>
          <w:b/>
          <w:bCs w:val="0"/>
          <w:color w:val="000000"/>
          <w:sz w:val="32"/>
          <w:szCs w:val="32"/>
          <w:highlight w:val="none"/>
          <w:u w:val="none"/>
          <w:lang w:val="en-US" w:eastAsia="zh-CN"/>
        </w:rPr>
        <w:t>行政参公单位填写，事业单位请删除）。</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2021年衢州市总工会本级1家行政单位的机关运行经费财政拨款预算0万元，比2020年机关运行经费预算增加0万元，2021机关运行经费预算无增减变化，主要原因是财政未安排机关运行经费预算。</w:t>
      </w:r>
    </w:p>
    <w:p>
      <w:pPr>
        <w:pStyle w:val="18"/>
        <w:keepNext w:val="0"/>
        <w:keepLines w:val="0"/>
        <w:pageBreakBefore w:val="0"/>
        <w:numPr>
          <w:ilvl w:val="0"/>
          <w:numId w:val="2"/>
        </w:numPr>
        <w:kinsoku/>
        <w:wordWrap/>
        <w:overflowPunct/>
        <w:topLinePunct w:val="0"/>
        <w:autoSpaceDE/>
        <w:autoSpaceDN/>
        <w:bidi w:val="0"/>
        <w:adjustRightInd/>
        <w:snapToGrid/>
        <w:spacing w:beforeLines="0" w:afterLines="0" w:line="520" w:lineRule="exact"/>
        <w:ind w:right="0" w:rightChars="0" w:firstLine="6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政府采购情况。</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default" w:ascii="仿宋_GB2312" w:eastAsia="仿宋_GB2312"/>
          <w:color w:val="FF0000"/>
          <w:sz w:val="32"/>
          <w:szCs w:val="32"/>
          <w:highlight w:val="none"/>
          <w:u w:val="none"/>
          <w:lang w:val="en-US" w:eastAsia="zh-CN"/>
        </w:rPr>
      </w:pPr>
      <w:r>
        <w:rPr>
          <w:rFonts w:hint="eastAsia" w:ascii="仿宋_GB2312" w:eastAsia="仿宋_GB2312"/>
          <w:b w:val="0"/>
          <w:bCs w:val="0"/>
          <w:sz w:val="32"/>
          <w:szCs w:val="32"/>
          <w:highlight w:val="none"/>
          <w:u w:val="none"/>
          <w:lang w:val="en-US" w:eastAsia="zh-CN"/>
        </w:rPr>
        <w:t>2022年</w:t>
      </w:r>
      <w:r>
        <w:rPr>
          <w:rFonts w:hint="eastAsia" w:ascii="仿宋_GB2312" w:eastAsia="仿宋_GB2312"/>
          <w:color w:val="000000"/>
          <w:sz w:val="32"/>
          <w:szCs w:val="32"/>
          <w:highlight w:val="none"/>
          <w:lang w:eastAsia="zh-CN"/>
        </w:rPr>
        <w:t>衢州市总工会各单位政府采购预算总额</w:t>
      </w:r>
      <w:r>
        <w:rPr>
          <w:rFonts w:hint="eastAsia" w:ascii="仿宋_GB2312" w:eastAsia="仿宋_GB2312"/>
          <w:color w:val="000000"/>
          <w:sz w:val="32"/>
          <w:szCs w:val="32"/>
          <w:highlight w:val="none"/>
          <w:lang w:val="en-US" w:eastAsia="zh-CN"/>
        </w:rPr>
        <w:t>0万元，其中：政府采购货物预算0万元、政府采购工程预算0万元、政府采购服务预算0万元。</w:t>
      </w:r>
    </w:p>
    <w:p>
      <w:pPr>
        <w:pStyle w:val="18"/>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3.国有资产占有使用情况。</w:t>
      </w:r>
    </w:p>
    <w:p>
      <w:pPr>
        <w:keepNext w:val="0"/>
        <w:keepLines w:val="0"/>
        <w:pageBreakBefore w:val="0"/>
        <w:kinsoku/>
        <w:wordWrap/>
        <w:overflowPunct/>
        <w:topLinePunct w:val="0"/>
        <w:bidi w:val="0"/>
        <w:spacing w:beforeLines="0" w:afterLines="0" w:line="52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截至2021年12月31日，</w:t>
      </w:r>
      <w:r>
        <w:rPr>
          <w:rFonts w:hint="eastAsia" w:ascii="仿宋_GB2312" w:hAnsi="仿宋_GB2312" w:eastAsia="仿宋_GB2312" w:cs="仿宋_GB2312"/>
          <w:color w:val="auto"/>
          <w:spacing w:val="6"/>
          <w:sz w:val="32"/>
          <w:szCs w:val="32"/>
          <w:highlight w:val="none"/>
          <w:lang w:eastAsia="zh-CN"/>
        </w:rPr>
        <w:t>衢州市总工会所属各预算单位共有车辆</w:t>
      </w:r>
      <w:r>
        <w:rPr>
          <w:rFonts w:hint="eastAsia" w:ascii="仿宋_GB2312" w:hAnsi="仿宋_GB2312" w:eastAsia="仿宋_GB2312" w:cs="仿宋_GB2312"/>
          <w:color w:val="auto"/>
          <w:sz w:val="32"/>
          <w:szCs w:val="32"/>
          <w:highlight w:val="none"/>
          <w:lang w:val="en-US" w:eastAsia="zh-CN"/>
        </w:rPr>
        <w:t xml:space="preserve">0辆，其中，省部级领导用车0辆、机要通信用车及应急保障用车0辆、执法执勤用车0辆、特种专业技术用车0辆、老干部服务用车0辆、行政执法专用车0辆。单位价值50万元以上通用设备0台（套），单位价值100万元以上专用设备0台（套）。 </w:t>
      </w:r>
    </w:p>
    <w:p>
      <w:pPr>
        <w:pStyle w:val="18"/>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4.预算绩效情况说明。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pacing w:val="6"/>
          <w:sz w:val="32"/>
          <w:szCs w:val="32"/>
          <w:highlight w:val="none"/>
          <w:lang w:eastAsia="zh-CN"/>
        </w:rPr>
        <w:t>衢州市总工会</w:t>
      </w:r>
      <w:r>
        <w:rPr>
          <w:rFonts w:hint="eastAsia" w:ascii="仿宋_GB2312" w:hAnsi="仿宋_GB2312" w:eastAsia="仿宋_GB2312" w:cs="仿宋_GB2312"/>
          <w:color w:val="auto"/>
          <w:sz w:val="32"/>
          <w:szCs w:val="32"/>
          <w:highlight w:val="none"/>
          <w:lang w:val="en-US" w:eastAsia="zh-CN"/>
        </w:rPr>
        <w:t>其他运转类项目和特定目标类项目均实行绩效目标管理，涉及一般公共预算当年拨款268.10万元，一级项目2个。</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1.财政拨款收入：本级财政部门当年拨付的财政预算资金，包括一般公共预算财政拨款和政府性基金预算财政拨款。</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2.专户资金:教育收费作为本部门的事业收入，纳入财政专户管理的资金。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3.事业收入：事业单位开展专业业务活动及辅助活动所取得的收入，不含专户资金收入。</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4.事业单位经营收入：事业单位在专业业务活动及辅助活动之外开展非独立核算经营活动取得的收入。</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5.其他收入：预算单位在“一般公共预算”“政府性基金”“专户资金”“事业收入”“事业单位经营收入”等之外取得的各项收入（含上级补助收入和附属单位缴款等收入）。</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6.上年结转：指以前年度尚未完成、结转到本年仍按原规定用途继续使用的资金。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7.基本支出：是预算单位为保障其正常运转，完成日常工作任务所发生的支出，包括人员支出和日常公用支出。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8.项目支出：是预算单位为完成其特定的行政工作任务或事业发展目标所发生的支出。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9.经营支出：指事业单位在专业业务活动及其辅助活动之外开展非独立核算经营活动发生的支出。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10.“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11.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12. 一般公共服务支出（类）群众团体事务（款）行政运行（群众团体事务）（项）：指行政单位（包括实行公务员管理的事业单位）的基本支出。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13、一般公共服务支出（类）群众团体事务（款）其他群众团体事务支出（项）：指用于群众团体事务方面的支出。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14. 住房保障支出（类）住房改革支出（款）住房公积金（项）：指行政单位按人力社保和社会保障部、财政部规定的基本工资和津贴补贴以及规定比例为职工缴纳的住房公积金。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15.社会保险和就业支出（类）行政事业单位离退休（款）其他行政事业单位离退休支出（项）：指其他用于行政事业单位离退休方面的支出。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16. 文化体育与传媒支出（类）文化和旅游（款）其他文化和旅游支出（项）：指其他用于文化和旅游方面的支出。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17. 社会保险和就业支出（类）行政事业单位养老保险（款）机关事业单位基本养老保险缴费支出（项）：指机关事业单位实施养老保险制度由单位缴纳的基本养老保险费支出。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18. 社会保险和就业支出（类）行政事业单位养老保险（款）机关事业单位职业年金缴费支出（项）：指机关事业单位实施养老保险制度由单位实际缴纳的职业年金支出。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19.社会保险和就业支出（类）财政对其他社会保险基金的 补助（款）其他财政对社保保险基金的补助（项）：</w:t>
      </w:r>
      <w:r>
        <w:rPr>
          <w:rFonts w:hint="eastAsia" w:ascii="仿宋_GB2312" w:hAnsi="仿宋_GB2312" w:eastAsia="仿宋_GB2312" w:cs="仿宋_GB2312"/>
          <w:color w:val="000000"/>
          <w:sz w:val="32"/>
          <w:szCs w:val="32"/>
          <w:highlight w:val="none"/>
          <w:lang w:eastAsia="zh-CN"/>
        </w:rPr>
        <w:t>指其他财政对社会保险基金的补助支出。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YzVlZTc4ZWE4NWZiOTk2MjFkOWE4YTI3MDBiNzIifQ=="/>
  </w:docVars>
  <w:rsids>
    <w:rsidRoot w:val="00000000"/>
    <w:rsid w:val="018E27A5"/>
    <w:rsid w:val="02E3163D"/>
    <w:rsid w:val="0432483D"/>
    <w:rsid w:val="05A67136"/>
    <w:rsid w:val="066303ED"/>
    <w:rsid w:val="076C78A2"/>
    <w:rsid w:val="08BB74EF"/>
    <w:rsid w:val="0C014F6D"/>
    <w:rsid w:val="10BA2E08"/>
    <w:rsid w:val="11641E21"/>
    <w:rsid w:val="11C7410E"/>
    <w:rsid w:val="125B4450"/>
    <w:rsid w:val="16EF5067"/>
    <w:rsid w:val="181D23FB"/>
    <w:rsid w:val="189F751A"/>
    <w:rsid w:val="1B3F078B"/>
    <w:rsid w:val="1DF23C3A"/>
    <w:rsid w:val="1ED74D17"/>
    <w:rsid w:val="222355AB"/>
    <w:rsid w:val="232B1FBF"/>
    <w:rsid w:val="245B3CCB"/>
    <w:rsid w:val="255258CA"/>
    <w:rsid w:val="260E6AFA"/>
    <w:rsid w:val="26E82133"/>
    <w:rsid w:val="27AF99D0"/>
    <w:rsid w:val="27FF34BF"/>
    <w:rsid w:val="2BD338A2"/>
    <w:rsid w:val="2D246966"/>
    <w:rsid w:val="32FF21F7"/>
    <w:rsid w:val="331523C5"/>
    <w:rsid w:val="336C035D"/>
    <w:rsid w:val="35B30831"/>
    <w:rsid w:val="3787034C"/>
    <w:rsid w:val="378D1B30"/>
    <w:rsid w:val="3926585A"/>
    <w:rsid w:val="3E054CA0"/>
    <w:rsid w:val="3E663D4F"/>
    <w:rsid w:val="41260B4E"/>
    <w:rsid w:val="415A1C10"/>
    <w:rsid w:val="434B0F61"/>
    <w:rsid w:val="43635059"/>
    <w:rsid w:val="4413460B"/>
    <w:rsid w:val="46184820"/>
    <w:rsid w:val="479F1816"/>
    <w:rsid w:val="49662D5A"/>
    <w:rsid w:val="497D118B"/>
    <w:rsid w:val="4AAC682E"/>
    <w:rsid w:val="4AFA32A4"/>
    <w:rsid w:val="4BC211D2"/>
    <w:rsid w:val="4CD34F92"/>
    <w:rsid w:val="4E671B85"/>
    <w:rsid w:val="52107117"/>
    <w:rsid w:val="52F56CF9"/>
    <w:rsid w:val="54C31518"/>
    <w:rsid w:val="5524283B"/>
    <w:rsid w:val="56432923"/>
    <w:rsid w:val="57D9322F"/>
    <w:rsid w:val="5BF9A05E"/>
    <w:rsid w:val="5CA47F6C"/>
    <w:rsid w:val="5EB804F7"/>
    <w:rsid w:val="621A60B9"/>
    <w:rsid w:val="63EE20F1"/>
    <w:rsid w:val="65DA2EDB"/>
    <w:rsid w:val="660F1626"/>
    <w:rsid w:val="66E778EF"/>
    <w:rsid w:val="67CC69CE"/>
    <w:rsid w:val="6B07428B"/>
    <w:rsid w:val="6D2516B5"/>
    <w:rsid w:val="6DE425FA"/>
    <w:rsid w:val="70DC49D4"/>
    <w:rsid w:val="72CB03A1"/>
    <w:rsid w:val="753064B9"/>
    <w:rsid w:val="759C24D2"/>
    <w:rsid w:val="76442312"/>
    <w:rsid w:val="768D504F"/>
    <w:rsid w:val="76DFF3BC"/>
    <w:rsid w:val="77FF0865"/>
    <w:rsid w:val="780E6178"/>
    <w:rsid w:val="793B28A6"/>
    <w:rsid w:val="79755AE1"/>
    <w:rsid w:val="799E09F8"/>
    <w:rsid w:val="79AD5421"/>
    <w:rsid w:val="7B57156D"/>
    <w:rsid w:val="7CED4BFA"/>
    <w:rsid w:val="7CFB18E8"/>
    <w:rsid w:val="7DBFC2EB"/>
    <w:rsid w:val="7E6B47E6"/>
    <w:rsid w:val="7EA02953"/>
    <w:rsid w:val="7FE3062C"/>
    <w:rsid w:val="A4EFB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Char"/>
    <w:basedOn w:val="1"/>
    <w:link w:val="7"/>
    <w:qFormat/>
    <w:uiPriority w:val="0"/>
  </w:style>
  <w:style w:type="character" w:styleId="9">
    <w:name w:val="Strong"/>
    <w:basedOn w:val="7"/>
    <w:qFormat/>
    <w:uiPriority w:val="0"/>
    <w:rPr>
      <w:b/>
      <w:bCs/>
    </w:rPr>
  </w:style>
  <w:style w:type="character" w:styleId="10">
    <w:name w:val="page number"/>
    <w:basedOn w:val="7"/>
    <w:qFormat/>
    <w:uiPriority w:val="0"/>
  </w:style>
  <w:style w:type="character" w:styleId="11">
    <w:name w:val="FollowedHyperlink"/>
    <w:basedOn w:val="7"/>
    <w:qFormat/>
    <w:uiPriority w:val="0"/>
    <w:rPr>
      <w:color w:val="800080"/>
      <w:u w:val="none"/>
    </w:rPr>
  </w:style>
  <w:style w:type="character" w:styleId="12">
    <w:name w:val="HTML Definition"/>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paragraph" w:customStyle="1" w:styleId="17">
    <w:name w:val=" Char"/>
    <w:basedOn w:val="1"/>
    <w:link w:val="7"/>
    <w:qFormat/>
    <w:uiPriority w:val="0"/>
    <w:rPr>
      <w:rFonts w:ascii="宋体" w:hAnsi="宋体" w:cs="Courier New"/>
      <w:sz w:val="32"/>
      <w:szCs w:val="32"/>
    </w:rPr>
  </w:style>
  <w:style w:type="paragraph" w:customStyle="1" w:styleId="18">
    <w:name w:val="p0"/>
    <w:basedOn w:val="1"/>
    <w:qFormat/>
    <w:uiPriority w:val="0"/>
    <w:pPr>
      <w:widowControl/>
    </w:pPr>
    <w:rPr>
      <w:kern w:val="0"/>
      <w:szCs w:val="21"/>
    </w:rPr>
  </w:style>
  <w:style w:type="character" w:customStyle="1" w:styleId="19">
    <w:name w:val="item-middle"/>
    <w:basedOn w:val="7"/>
    <w:qFormat/>
    <w:uiPriority w:val="0"/>
  </w:style>
  <w:style w:type="character" w:customStyle="1" w:styleId="20">
    <w:name w:val="image"/>
    <w:basedOn w:val="7"/>
    <w:qFormat/>
    <w:uiPriority w:val="0"/>
  </w:style>
  <w:style w:type="character" w:customStyle="1" w:styleId="21">
    <w:name w:val="image2"/>
    <w:basedOn w:val="7"/>
    <w:qFormat/>
    <w:uiPriority w:val="0"/>
  </w:style>
  <w:style w:type="character" w:customStyle="1" w:styleId="22">
    <w:name w:val="image3"/>
    <w:basedOn w:val="7"/>
    <w:qFormat/>
    <w:uiPriority w:val="0"/>
  </w:style>
  <w:style w:type="character" w:customStyle="1" w:styleId="23">
    <w:name w:val="ui-state-hover21"/>
    <w:basedOn w:val="7"/>
    <w:qFormat/>
    <w:uiPriority w:val="0"/>
  </w:style>
  <w:style w:type="character" w:customStyle="1" w:styleId="24">
    <w:name w:val="ui-state-active5"/>
    <w:basedOn w:val="7"/>
    <w:qFormat/>
    <w:uiPriority w:val="0"/>
  </w:style>
  <w:style w:type="character" w:customStyle="1" w:styleId="25">
    <w:name w:val="ui-state-default12"/>
    <w:basedOn w:val="7"/>
    <w:qFormat/>
    <w:uiPriority w:val="0"/>
  </w:style>
  <w:style w:type="character" w:customStyle="1" w:styleId="26">
    <w:name w:val="ui-state-default13"/>
    <w:basedOn w:val="7"/>
    <w:qFormat/>
    <w:uiPriority w:val="0"/>
  </w:style>
  <w:style w:type="character" w:customStyle="1" w:styleId="27">
    <w:name w:val="clicked1"/>
    <w:basedOn w:val="7"/>
    <w:qFormat/>
    <w:uiPriority w:val="0"/>
    <w:rPr>
      <w:color w:val="000000"/>
    </w:rPr>
  </w:style>
  <w:style w:type="character" w:customStyle="1" w:styleId="28">
    <w:name w:val="clicked2"/>
    <w:basedOn w:val="7"/>
    <w:qFormat/>
    <w:uiPriority w:val="0"/>
  </w:style>
  <w:style w:type="character" w:customStyle="1" w:styleId="29">
    <w:name w:val="clicked3"/>
    <w:basedOn w:val="7"/>
    <w:qFormat/>
    <w:uiPriority w:val="0"/>
  </w:style>
  <w:style w:type="character" w:customStyle="1" w:styleId="30">
    <w:name w:val="button-hover"/>
    <w:basedOn w:val="7"/>
    <w:qFormat/>
    <w:uiPriority w:val="0"/>
  </w:style>
  <w:style w:type="character" w:customStyle="1" w:styleId="31">
    <w:name w:val="button-hover1"/>
    <w:basedOn w:val="7"/>
    <w:qFormat/>
    <w:uiPriority w:val="0"/>
  </w:style>
  <w:style w:type="character" w:customStyle="1" w:styleId="32">
    <w:name w:val="group"/>
    <w:basedOn w:val="7"/>
    <w:qFormat/>
    <w:uiPriority w:val="0"/>
  </w:style>
  <w:style w:type="character" w:customStyle="1" w:styleId="33">
    <w:name w:val="directchildrenspan"/>
    <w:basedOn w:val="7"/>
    <w:qFormat/>
    <w:uiPriority w:val="0"/>
  </w:style>
  <w:style w:type="character" w:customStyle="1" w:styleId="34">
    <w:name w:val="imgspan"/>
    <w:basedOn w:val="7"/>
    <w:qFormat/>
    <w:uiPriority w:val="0"/>
  </w:style>
  <w:style w:type="character" w:customStyle="1" w:styleId="35">
    <w:name w:val="ui-icon34"/>
    <w:basedOn w:val="7"/>
    <w:qFormat/>
    <w:uiPriority w:val="0"/>
  </w:style>
  <w:style w:type="character" w:customStyle="1" w:styleId="36">
    <w:name w:val="newstitle"/>
    <w:basedOn w:val="7"/>
    <w:qFormat/>
    <w:uiPriority w:val="0"/>
    <w:rPr>
      <w:b/>
      <w:color w:val="000000"/>
      <w:sz w:val="24"/>
      <w:szCs w:val="24"/>
    </w:rPr>
  </w:style>
  <w:style w:type="character" w:customStyle="1" w:styleId="37">
    <w:name w:val="ui-state-hover"/>
    <w:basedOn w:val="7"/>
    <w:qFormat/>
    <w:uiPriority w:val="0"/>
  </w:style>
  <w:style w:type="character" w:customStyle="1" w:styleId="38">
    <w:name w:val="image1"/>
    <w:basedOn w:val="7"/>
    <w:qFormat/>
    <w:uiPriority w:val="0"/>
  </w:style>
  <w:style w:type="character" w:customStyle="1" w:styleId="39">
    <w:name w:val="clicked"/>
    <w:basedOn w:val="7"/>
    <w:qFormat/>
    <w:uiPriority w:val="0"/>
  </w:style>
  <w:style w:type="character" w:customStyle="1" w:styleId="40">
    <w:name w:val="ui-state-active"/>
    <w:basedOn w:val="7"/>
    <w:qFormat/>
    <w:uiPriority w:val="0"/>
  </w:style>
  <w:style w:type="character" w:customStyle="1" w:styleId="41">
    <w:name w:val="ui-icon33"/>
    <w:basedOn w:val="7"/>
    <w:qFormat/>
    <w:uiPriority w:val="0"/>
  </w:style>
  <w:style w:type="character" w:customStyle="1" w:styleId="42">
    <w:name w:val="ui-state-active6"/>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5067</Words>
  <Characters>5457</Characters>
  <Lines>0</Lines>
  <Paragraphs>0</Paragraphs>
  <TotalTime>3</TotalTime>
  <ScaleCrop>false</ScaleCrop>
  <LinksUpToDate>false</LinksUpToDate>
  <CharactersWithSpaces>5488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chengws</dc:creator>
  <cp:lastModifiedBy>Administrator</cp:lastModifiedBy>
  <cp:lastPrinted>2022-05-24T02:33:00Z</cp:lastPrinted>
  <dcterms:modified xsi:type="dcterms:W3CDTF">2023-07-25T02:19:27Z</dcterms:modified>
  <dc:title>附件1：省级部门预算公开说明样式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16FFA3439E044E448851792FD56C6632</vt:lpwstr>
  </property>
</Properties>
</file>