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lang w:eastAsia="zh-CN"/>
        </w:rPr>
      </w:pPr>
      <w:r>
        <w:rPr>
          <w:rFonts w:hint="eastAsia" w:ascii="方正小标宋简体" w:hAnsi="方正小标宋简体" w:eastAsia="方正小标宋简体" w:cs="方正小标宋简体"/>
          <w:bCs/>
          <w:spacing w:val="15"/>
          <w:sz w:val="44"/>
          <w:szCs w:val="44"/>
          <w:highlight w:val="none"/>
          <w:lang w:eastAsia="zh-CN"/>
        </w:rPr>
        <w:t>衢州市工人文化宫</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val="en-US" w:eastAsia="zh-CN"/>
        </w:rPr>
        <w:t>2022</w:t>
      </w:r>
      <w:r>
        <w:rPr>
          <w:rFonts w:hint="eastAsia" w:ascii="方正小标宋简体" w:hAnsi="方正小标宋简体" w:eastAsia="方正小标宋简体" w:cs="方正小标宋简体"/>
          <w:bCs/>
          <w:spacing w:val="15"/>
          <w:sz w:val="44"/>
          <w:szCs w:val="44"/>
          <w:highlight w:val="none"/>
        </w:rPr>
        <w:t>年部门</w:t>
      </w:r>
      <w:r>
        <w:rPr>
          <w:rFonts w:hint="eastAsia" w:ascii="方正小标宋简体" w:hAnsi="方正小标宋简体" w:eastAsia="方正小标宋简体" w:cs="方正小标宋简体"/>
          <w:bCs/>
          <w:spacing w:val="15"/>
          <w:sz w:val="44"/>
          <w:szCs w:val="44"/>
          <w:highlight w:val="none"/>
          <w:lang w:eastAsia="zh-CN"/>
        </w:rPr>
        <w:t>（</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9"/>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目录</w:t>
      </w:r>
    </w:p>
    <w:p>
      <w:pPr>
        <w:pStyle w:val="2"/>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9"/>
          <w:rFonts w:hint="eastAsia" w:ascii="黑体" w:eastAsia="黑体"/>
          <w:b w:val="0"/>
          <w:color w:val="000000"/>
          <w:sz w:val="32"/>
          <w:szCs w:val="32"/>
          <w:highlight w:val="none"/>
          <w:lang w:eastAsia="zh-CN"/>
        </w:rPr>
        <w:t>部门（单位）</w:t>
      </w:r>
      <w:r>
        <w:rPr>
          <w:rStyle w:val="9"/>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2022</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衢州市工人文化宫</w:t>
      </w:r>
      <w:r>
        <w:rPr>
          <w:rStyle w:val="9"/>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关于衢州市工人文化宫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关于衢州市工人文化宫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关于衢州市工人文化宫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关于衢州市工人文化宫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（五）关于衢州市工人文化宫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关于衢州市工人文化宫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（七）关于衢州市工人文化宫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（八）关于衢州市工人文化宫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（九）关于衢州市工人文化宫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rPr>
      </w:pPr>
      <w:r>
        <w:rPr>
          <w:rStyle w:val="9"/>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9"/>
          <w:rFonts w:hint="eastAsia" w:ascii="黑体" w:eastAsia="黑体"/>
          <w:b w:val="0"/>
          <w:color w:val="000000"/>
          <w:sz w:val="32"/>
          <w:szCs w:val="32"/>
          <w:highlight w:val="none"/>
        </w:rPr>
      </w:pPr>
      <w:r>
        <w:rPr>
          <w:rStyle w:val="9"/>
          <w:rFonts w:hint="eastAsia" w:ascii="黑体" w:eastAsia="黑体"/>
          <w:b w:val="0"/>
          <w:color w:val="000000"/>
          <w:sz w:val="32"/>
          <w:szCs w:val="32"/>
          <w:highlight w:val="none"/>
        </w:rPr>
        <w:t>一、</w:t>
      </w:r>
      <w:r>
        <w:rPr>
          <w:rStyle w:val="9"/>
          <w:rFonts w:hint="eastAsia" w:ascii="黑体" w:eastAsia="黑体"/>
          <w:b w:val="0"/>
          <w:color w:val="000000"/>
          <w:sz w:val="32"/>
          <w:szCs w:val="32"/>
          <w:highlight w:val="none"/>
          <w:lang w:eastAsia="zh-CN"/>
        </w:rPr>
        <w:t>部门（单位）</w:t>
      </w:r>
      <w:r>
        <w:rPr>
          <w:rStyle w:val="9"/>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right="0" w:rightChars="0" w:firstLine="640" w:firstLineChars="0"/>
        <w:textAlignment w:val="auto"/>
        <w:outlineLvl w:val="9"/>
        <w:rPr>
          <w:rFonts w:hint="eastAsia" w:ascii="仿宋_GB2312" w:hAnsi="Times New Roman" w:eastAsia="仿宋_GB2312" w:cs="Times New Roman"/>
          <w:b w:val="0"/>
          <w:bCs/>
          <w:color w:val="000000"/>
          <w:sz w:val="32"/>
          <w:szCs w:val="32"/>
          <w:highlight w:val="none"/>
          <w:lang w:val="en-US" w:eastAsia="zh-CN"/>
        </w:rPr>
      </w:pPr>
      <w:r>
        <w:rPr>
          <w:rFonts w:hint="eastAsia" w:ascii="仿宋_GB2312" w:hAnsi="Times New Roman" w:eastAsia="仿宋_GB2312" w:cs="Times New Roman"/>
          <w:b w:val="0"/>
          <w:bCs/>
          <w:color w:val="000000"/>
          <w:sz w:val="32"/>
          <w:szCs w:val="32"/>
          <w:highlight w:val="none"/>
          <w:lang w:val="en-US" w:eastAsia="zh-CN"/>
        </w:rPr>
        <w:t>围绕党和工会的中心工作，宣传党的路线、方针、政策，对职工进行爱国主义、集体主义、社会主义教育和民主、法制、纪律教育；负责全市专兼职工会干部岗位规范化培训和适应性岗位培训；组织职工、农民工开展各类培训工作，组织广大职工开展各类群众文化体育活动，丰富职工群众的业余文化生活；收集整理职工艺术创作资料，服务保障柯城区两会、市两会及其他各种政府会议工作。</w:t>
      </w:r>
    </w:p>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right="0" w:rightChars="0" w:firstLine="640" w:firstLineChars="0"/>
        <w:textAlignment w:val="auto"/>
        <w:outlineLvl w:val="9"/>
        <w:rPr>
          <w:rFonts w:hint="eastAsia" w:ascii="仿宋_GB2312" w:hAnsi="Times New Roman" w:eastAsia="仿宋_GB2312" w:cs="Times New Roman"/>
          <w:b w:val="0"/>
          <w:bCs/>
          <w:color w:val="000000"/>
          <w:sz w:val="32"/>
          <w:szCs w:val="32"/>
          <w:highlight w:val="none"/>
          <w:lang w:val="en-US" w:eastAsia="zh-CN"/>
        </w:rPr>
      </w:pPr>
      <w:r>
        <w:rPr>
          <w:rFonts w:hint="eastAsia" w:ascii="仿宋_GB2312" w:eastAsia="仿宋_GB2312"/>
          <w:bCs/>
          <w:sz w:val="32"/>
          <w:szCs w:val="32"/>
          <w:highlight w:val="none"/>
        </w:rPr>
        <w:t>从预算单位构成看，</w:t>
      </w:r>
      <w:r>
        <w:rPr>
          <w:rFonts w:hint="eastAsia" w:ascii="仿宋_GB2312" w:eastAsia="仿宋_GB2312"/>
          <w:bCs/>
          <w:sz w:val="32"/>
          <w:szCs w:val="32"/>
          <w:highlight w:val="none"/>
          <w:lang w:eastAsia="zh-CN"/>
        </w:rPr>
        <w:t>衢州市工人文化宫机构</w:t>
      </w:r>
      <w:r>
        <w:rPr>
          <w:rFonts w:hint="eastAsia" w:ascii="仿宋_GB2312" w:hAnsi="Times New Roman" w:eastAsia="仿宋_GB2312" w:cs="Times New Roman"/>
          <w:b w:val="0"/>
          <w:bCs/>
          <w:color w:val="000000"/>
          <w:sz w:val="32"/>
          <w:szCs w:val="32"/>
          <w:highlight w:val="none"/>
          <w:lang w:val="en-US" w:eastAsia="zh-CN"/>
        </w:rPr>
        <w:t>设有：办公室、宣教科、剧管科及职工教育活动中心。本单位机构规格相当于正科级，经费形式为财政定额补助，核定编制人数15人，现实有在编在职人数9人。编外人员5人。定为准社会公益类事业单位。</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0"/>
        <w:textAlignment w:val="auto"/>
        <w:outlineLvl w:val="9"/>
        <w:rPr>
          <w:rFonts w:hint="eastAsia" w:ascii="楷体_GB2312" w:hAnsi="楷体_GB2312" w:eastAsia="楷体_GB2312" w:cs="楷体_GB2312"/>
          <w:b/>
          <w:color w:val="000000"/>
          <w:sz w:val="32"/>
          <w:szCs w:val="32"/>
          <w:highlight w:val="none"/>
          <w:lang w:val="en-US" w:eastAsia="zh-CN"/>
        </w:rPr>
      </w:pP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2022</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衢州市工人文化宫</w:t>
      </w:r>
      <w:r>
        <w:rPr>
          <w:rStyle w:val="9"/>
          <w:rFonts w:hint="eastAsia" w:ascii="黑体" w:eastAsia="黑体"/>
          <w:b w:val="0"/>
          <w:color w:val="000000"/>
          <w:sz w:val="32"/>
          <w:szCs w:val="32"/>
          <w:highlight w:val="none"/>
        </w:rPr>
        <w:t>部门</w:t>
      </w:r>
      <w:r>
        <w:rPr>
          <w:rStyle w:val="9"/>
          <w:rFonts w:hint="eastAsia" w:ascii="黑体" w:eastAsia="黑体"/>
          <w:b w:val="0"/>
          <w:color w:val="000000"/>
          <w:sz w:val="32"/>
          <w:szCs w:val="32"/>
          <w:highlight w:val="none"/>
          <w:lang w:eastAsia="zh-CN"/>
        </w:rPr>
        <w:t>（</w:t>
      </w:r>
      <w:r>
        <w:rPr>
          <w:rStyle w:val="9"/>
          <w:rFonts w:hint="eastAsia" w:ascii="黑体" w:eastAsia="黑体"/>
          <w:b w:val="0"/>
          <w:color w:val="000000"/>
          <w:sz w:val="32"/>
          <w:szCs w:val="32"/>
          <w:highlight w:val="none"/>
          <w:lang w:val="en-US" w:eastAsia="zh-CN"/>
        </w:rPr>
        <w:t>单位</w:t>
      </w:r>
      <w:r>
        <w:rPr>
          <w:rStyle w:val="9"/>
          <w:rFonts w:hint="eastAsia" w:ascii="黑体" w:eastAsia="黑体"/>
          <w:b w:val="0"/>
          <w:color w:val="000000"/>
          <w:sz w:val="32"/>
          <w:szCs w:val="32"/>
          <w:highlight w:val="none"/>
          <w:lang w:eastAsia="zh-CN"/>
        </w:rPr>
        <w:t>）</w:t>
      </w:r>
      <w:r>
        <w:rPr>
          <w:rStyle w:val="9"/>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衢州市工人文化宫</w:t>
      </w:r>
      <w:r>
        <w:rPr>
          <w:rStyle w:val="9"/>
          <w:rFonts w:hint="eastAsia" w:ascii="楷体_GB2312" w:hAnsi="楷体_GB2312" w:eastAsia="楷体_GB2312" w:cs="楷体_GB2312"/>
          <w:b w:val="0"/>
          <w:bCs w:val="0"/>
          <w:color w:val="000000"/>
          <w:sz w:val="32"/>
          <w:szCs w:val="32"/>
          <w:highlight w:val="none"/>
          <w:lang w:val="en-US" w:eastAsia="zh-CN"/>
        </w:rPr>
        <w:t>2022</w:t>
      </w:r>
      <w:r>
        <w:rPr>
          <w:rStyle w:val="9"/>
          <w:rFonts w:hint="eastAsia" w:ascii="楷体_GB2312" w:hAnsi="楷体_GB2312" w:eastAsia="楷体_GB2312" w:cs="楷体_GB2312"/>
          <w:b w:val="0"/>
          <w:bCs w:val="0"/>
          <w:color w:val="000000"/>
          <w:sz w:val="32"/>
          <w:szCs w:val="32"/>
          <w:highlight w:val="none"/>
        </w:rPr>
        <w:t>年</w:t>
      </w:r>
      <w:r>
        <w:rPr>
          <w:rStyle w:val="9"/>
          <w:rFonts w:hint="eastAsia" w:ascii="楷体_GB2312" w:hAnsi="楷体_GB2312" w:eastAsia="楷体_GB2312" w:cs="楷体_GB2312"/>
          <w:b w:val="0"/>
          <w:bCs w:val="0"/>
          <w:color w:val="000000"/>
          <w:sz w:val="32"/>
          <w:szCs w:val="32"/>
          <w:highlight w:val="none"/>
          <w:lang w:eastAsia="zh-CN"/>
        </w:rPr>
        <w:t>收支预算情况的总体说明</w:t>
      </w:r>
      <w:r>
        <w:rPr>
          <w:rFonts w:hint="eastAsia" w:ascii="楷体_GB2312" w:hAnsi="楷体_GB2312" w:eastAsia="楷体_GB2312" w:cs="楷体_GB2312"/>
          <w:b/>
          <w:color w:val="000000"/>
          <w:sz w:val="32"/>
          <w:szCs w:val="32"/>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衢州市工人文化宫所有收入和支出均纳入部门（</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）预算管理。收入包括：一般公共预算拨款收入、事业收入（不含专户资金）；支出包括：文化旅游体育与传媒支出、社会保障和就业支出、住房保障支出。衢州市工人文化宫</w:t>
      </w:r>
      <w:r>
        <w:rPr>
          <w:rFonts w:hint="eastAsia" w:ascii="仿宋_GB2312" w:eastAsia="仿宋_GB2312"/>
          <w:color w:val="000000"/>
          <w:sz w:val="32"/>
          <w:szCs w:val="32"/>
          <w:highlight w:val="none"/>
          <w:lang w:val="en-US" w:eastAsia="zh-CN"/>
        </w:rPr>
        <w:t>2022年收支总预算369.48万元。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衢州市工人文化宫</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default" w:ascii="仿宋_GB2312" w:eastAsia="仿宋_GB2312"/>
          <w:color w:val="FF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衢州市工人文化宫</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369.48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比上年执行数增加</w:t>
      </w:r>
      <w:r>
        <w:rPr>
          <w:rFonts w:hint="eastAsia" w:ascii="仿宋_GB2312" w:hAnsi="仿宋_GB2312" w:eastAsia="仿宋_GB2312" w:cs="仿宋_GB2312"/>
          <w:color w:val="000000"/>
          <w:sz w:val="32"/>
          <w:szCs w:val="32"/>
          <w:highlight w:val="none"/>
          <w:lang w:val="en-US" w:eastAsia="zh-CN"/>
        </w:rPr>
        <w:t>16.93万元，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lang w:val="en-US" w:eastAsia="zh-CN"/>
        </w:rPr>
        <w:t>长</w:t>
      </w:r>
      <w:r>
        <w:rPr>
          <w:rFonts w:hint="eastAsia" w:ascii="仿宋_GB2312" w:hAnsi="仿宋_GB2312" w:eastAsia="仿宋_GB2312" w:cs="仿宋_GB2312"/>
          <w:color w:val="000000"/>
          <w:sz w:val="32"/>
          <w:highlight w:val="none"/>
          <w:lang w:val="en-US" w:eastAsia="zh-CN"/>
        </w:rPr>
        <w:t>4.81</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主要是事业收入有所增长。</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35</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9.48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事业收入（不含专户资金）</w:t>
      </w:r>
      <w:r>
        <w:rPr>
          <w:rFonts w:hint="eastAsia" w:ascii="仿宋_GB2312" w:eastAsia="仿宋_GB2312"/>
          <w:color w:val="000000"/>
          <w:sz w:val="32"/>
          <w:szCs w:val="32"/>
          <w:highlight w:val="none"/>
          <w:lang w:val="en-US" w:eastAsia="zh-CN"/>
        </w:rPr>
        <w:t>334.48</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90.53</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衢州市工人文化宫</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衢州市工人文化宫</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369.48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w:t>
      </w:r>
      <w:r>
        <w:rPr>
          <w:rFonts w:hint="eastAsia" w:ascii="仿宋_GB2312" w:hAnsi="仿宋_GB2312" w:eastAsia="仿宋_GB2312" w:cs="仿宋_GB2312"/>
          <w:color w:val="000000"/>
          <w:sz w:val="32"/>
          <w:szCs w:val="32"/>
          <w:highlight w:val="none"/>
          <w:lang w:val="en-US" w:eastAsia="zh-CN"/>
        </w:rPr>
        <w:t>加16.93万元，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4.81</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主要是项目支出有所增长。</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文化旅游体育与传媒支出</w:t>
      </w:r>
      <w:r>
        <w:rPr>
          <w:rFonts w:hint="eastAsia" w:ascii="仿宋_GB2312" w:eastAsia="仿宋_GB2312"/>
          <w:color w:val="000000"/>
          <w:sz w:val="32"/>
          <w:szCs w:val="32"/>
          <w:highlight w:val="none"/>
          <w:lang w:val="en-US" w:eastAsia="zh-CN"/>
        </w:rPr>
        <w:t>322.91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19.64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26.93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250.43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67.77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23.05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6.24</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96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25.99</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default" w:ascii="仿宋_GB2312" w:eastAsia="仿宋_GB2312"/>
          <w:color w:val="FF0000"/>
          <w:sz w:val="32"/>
          <w:szCs w:val="32"/>
          <w:highlight w:val="none"/>
          <w:lang w:val="en-US"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衢州市工人文化宫</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衢州市工人文化宫</w:t>
      </w:r>
      <w:r>
        <w:rPr>
          <w:rFonts w:hint="eastAsia" w:ascii="仿宋_GB2312" w:eastAsia="仿宋_GB2312"/>
          <w:color w:val="000000"/>
          <w:sz w:val="32"/>
          <w:szCs w:val="32"/>
          <w:highlight w:val="none"/>
          <w:lang w:val="en-US" w:eastAsia="zh-CN"/>
        </w:rPr>
        <w:t>2022年财政拨款收支总预算35万元。收入包括：一般公共预算35万元。</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衢州市工人文化宫</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eastAsia="仿宋_GB2312"/>
          <w:color w:val="000000"/>
          <w:sz w:val="32"/>
          <w:szCs w:val="32"/>
          <w:highlight w:val="none"/>
          <w:lang w:eastAsia="zh-CN"/>
        </w:rPr>
        <w:t>衢州市工人文化宫</w:t>
      </w:r>
      <w:r>
        <w:rPr>
          <w:rFonts w:hint="eastAsia" w:ascii="仿宋_GB2312" w:hAnsi="仿宋_GB2312" w:eastAsia="仿宋_GB2312" w:cs="仿宋_GB2312"/>
          <w:color w:val="000000"/>
          <w:sz w:val="32"/>
          <w:szCs w:val="32"/>
          <w:highlight w:val="none"/>
          <w:lang w:val="en-US" w:eastAsia="zh-CN"/>
        </w:rPr>
        <w:t>2022年一般公共预算当年拨款35万元，与上年执行数持平。</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文化旅游体育与传媒（类）支出</w:t>
      </w:r>
      <w:r>
        <w:rPr>
          <w:rFonts w:hint="eastAsia" w:ascii="仿宋_GB2312" w:hAnsi="仿宋_GB2312" w:eastAsia="仿宋_GB2312" w:cs="仿宋_GB2312"/>
          <w:color w:val="000000"/>
          <w:sz w:val="32"/>
          <w:szCs w:val="32"/>
          <w:highlight w:val="none"/>
          <w:lang w:val="en-US" w:eastAsia="zh-CN"/>
        </w:rPr>
        <w:t>35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100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）文化旅游体育与传媒支出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文化和旅游</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其他文化和旅游支出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35</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在职人员支出</w:t>
      </w:r>
      <w:r>
        <w:rPr>
          <w:rFonts w:hint="eastAsia" w:ascii="仿宋_GB2312" w:hAnsi="仿宋_GB2312" w:eastAsia="仿宋_GB2312" w:cs="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衢州市工人文化宫</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楷体_GB2312" w:hAnsi="楷体_GB2312" w:eastAsia="楷体_GB2312" w:cs="楷体_GB2312"/>
          <w:b w:val="0"/>
          <w:bCs/>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衢州市工人文化宫</w:t>
      </w:r>
      <w:r>
        <w:rPr>
          <w:rFonts w:hint="eastAsia" w:ascii="仿宋_GB2312" w:eastAsia="仿宋_GB2312"/>
          <w:color w:val="000000"/>
          <w:sz w:val="32"/>
          <w:szCs w:val="32"/>
          <w:highlight w:val="none"/>
          <w:lang w:val="en-US" w:eastAsia="zh-CN"/>
        </w:rPr>
        <w:t>2022</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35万元，其中：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35</w:t>
      </w:r>
      <w:r>
        <w:rPr>
          <w:rFonts w:hint="eastAsia" w:ascii="仿宋_GB2312" w:eastAsia="仿宋_GB2312" w:cs="Times New Roman"/>
          <w:b w:val="0"/>
          <w:color w:val="000000"/>
          <w:sz w:val="32"/>
          <w:szCs w:val="32"/>
          <w:highlight w:val="none"/>
          <w:lang w:val="en-US" w:eastAsia="zh-CN"/>
        </w:rPr>
        <w:t>万元，主要包括：基本工资、绩效工资。</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w:t>
      </w:r>
      <w:r>
        <w:rPr>
          <w:rStyle w:val="9"/>
          <w:rFonts w:hint="eastAsia" w:ascii="楷体_GB2312" w:hAnsi="楷体_GB2312" w:eastAsia="楷体_GB2312" w:cs="楷体_GB2312"/>
          <w:b w:val="0"/>
          <w:bCs w:val="0"/>
          <w:color w:val="000000"/>
          <w:sz w:val="32"/>
          <w:szCs w:val="32"/>
          <w:highlight w:val="none"/>
          <w:lang w:eastAsia="zh-CN"/>
        </w:rPr>
        <w:t>衢州市工人文化宫</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eastAsia="仿宋_GB2312"/>
          <w:color w:val="000000"/>
          <w:sz w:val="32"/>
          <w:szCs w:val="32"/>
          <w:highlight w:val="none"/>
          <w:lang w:eastAsia="zh-CN"/>
        </w:rPr>
        <w:t>衢州市工人文化宫</w:t>
      </w:r>
      <w:r>
        <w:rPr>
          <w:rFonts w:hint="eastAsia" w:ascii="仿宋_GB2312" w:hAnsi="仿宋_GB2312" w:eastAsia="仿宋_GB2312" w:cs="仿宋_GB2312"/>
          <w:color w:val="000000"/>
          <w:sz w:val="32"/>
          <w:szCs w:val="32"/>
          <w:highlight w:val="none"/>
          <w:lang w:val="en-US" w:eastAsia="zh-CN"/>
        </w:rPr>
        <w:t>2022年没有使用政府性基金预算拨款安排的支出。</w:t>
      </w:r>
    </w:p>
    <w:p>
      <w:pPr>
        <w:keepNext w:val="0"/>
        <w:keepLines w:val="0"/>
        <w:pageBreakBefore w:val="0"/>
        <w:kinsoku/>
        <w:wordWrap/>
        <w:overflowPunct/>
        <w:topLinePunct w:val="0"/>
        <w:autoSpaceDE w:val="0"/>
        <w:autoSpaceDN w:val="0"/>
        <w:bidi w:val="0"/>
        <w:adjustRightInd w:val="0"/>
        <w:snapToGrid/>
        <w:spacing w:line="520" w:lineRule="exact"/>
        <w:ind w:leftChars="200"/>
        <w:jc w:val="left"/>
        <w:textAlignment w:val="auto"/>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（八）关于</w:t>
      </w:r>
      <w:r>
        <w:rPr>
          <w:rStyle w:val="9"/>
          <w:rFonts w:hint="eastAsia" w:ascii="楷体_GB2312" w:hAnsi="楷体_GB2312" w:eastAsia="楷体_GB2312" w:cs="楷体_GB2312"/>
          <w:b w:val="0"/>
          <w:bCs w:val="0"/>
          <w:color w:val="000000"/>
          <w:sz w:val="32"/>
          <w:szCs w:val="32"/>
          <w:highlight w:val="none"/>
          <w:lang w:eastAsia="zh-CN"/>
        </w:rPr>
        <w:t>衢州市工人文化宫</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477" w:leftChars="227" w:right="0" w:rightChars="0" w:firstLine="0" w:firstLineChars="0"/>
        <w:textAlignment w:val="auto"/>
        <w:outlineLvl w:val="9"/>
        <w:rPr>
          <w:rFonts w:hint="eastAsia"/>
        </w:rPr>
      </w:pPr>
      <w:r>
        <w:rPr>
          <w:rFonts w:hint="eastAsia" w:ascii="仿宋_GB2312" w:eastAsia="仿宋_GB2312"/>
          <w:color w:val="000000"/>
          <w:sz w:val="32"/>
          <w:szCs w:val="32"/>
          <w:highlight w:val="none"/>
          <w:lang w:val="en-US" w:eastAsia="zh-CN"/>
        </w:rPr>
        <w:t xml:space="preserve">  </w:t>
      </w:r>
      <w:r>
        <w:rPr>
          <w:rFonts w:hint="eastAsia" w:ascii="仿宋_GB2312" w:eastAsia="仿宋_GB2312"/>
          <w:color w:val="000000"/>
          <w:sz w:val="32"/>
          <w:szCs w:val="32"/>
          <w:highlight w:val="none"/>
          <w:lang w:eastAsia="zh-CN"/>
        </w:rPr>
        <w:t>衢州市工人文化宫</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w:t>
      </w:r>
      <w:r>
        <w:rPr>
          <w:rStyle w:val="9"/>
          <w:rFonts w:hint="eastAsia" w:ascii="楷体_GB2312" w:hAnsi="楷体_GB2312" w:eastAsia="楷体_GB2312" w:cs="楷体_GB2312"/>
          <w:b w:val="0"/>
          <w:bCs w:val="0"/>
          <w:color w:val="000000"/>
          <w:sz w:val="32"/>
          <w:szCs w:val="32"/>
          <w:highlight w:val="none"/>
          <w:lang w:eastAsia="zh-CN"/>
        </w:rPr>
        <w:t>衢州市工人文化宫</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napToGrid/>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衢州市工人文化宫</w:t>
      </w:r>
      <w:r>
        <w:rPr>
          <w:rFonts w:hint="eastAsia" w:ascii="仿宋_GB2312" w:hAnsi="仿宋_GB2312" w:eastAsia="仿宋_GB2312"/>
          <w:sz w:val="32"/>
          <w:highlight w:val="none"/>
          <w:lang w:val="en-US" w:eastAsia="zh-CN"/>
        </w:rPr>
        <w:t>2022</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0</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与上年执行数持平</w:t>
      </w:r>
      <w:r>
        <w:rPr>
          <w:rFonts w:hint="eastAsia" w:ascii="仿宋_GB2312" w:hAnsi="仿宋_GB2312" w:eastAsia="仿宋_GB2312" w:cs="Times New Roman"/>
          <w:sz w:val="32"/>
          <w:szCs w:val="20"/>
          <w:highlight w:val="none"/>
          <w:lang w:eastAsia="zh-CN"/>
        </w:rPr>
        <w:t>，</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bidi w:val="0"/>
        <w:snapToGrid/>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Times New Roman"/>
          <w:kern w:val="2"/>
          <w:sz w:val="32"/>
          <w:szCs w:val="20"/>
          <w:highlight w:val="none"/>
          <w:shd w:val="clear" w:color="auto" w:fill="FFFFFF"/>
          <w:lang w:val="en-US" w:eastAsia="zh-CN" w:bidi="ar"/>
        </w:rPr>
        <w:t>与上年执行数持平</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val="0"/>
          <w:bCs w:val="0"/>
          <w:sz w:val="32"/>
          <w:szCs w:val="32"/>
          <w:highlight w:val="none"/>
          <w:lang w:eastAsia="zh-CN"/>
        </w:rPr>
        <w:t>增加（减少）的主要原因是未安排预算。</w:t>
      </w:r>
    </w:p>
    <w:p>
      <w:pPr>
        <w:keepNext w:val="0"/>
        <w:keepLines w:val="0"/>
        <w:pageBreakBefore w:val="0"/>
        <w:kinsoku/>
        <w:wordWrap/>
        <w:overflowPunct/>
        <w:topLinePunct w:val="0"/>
        <w:bidi w:val="0"/>
        <w:snapToGrid/>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Times New Roman"/>
          <w:kern w:val="2"/>
          <w:sz w:val="32"/>
          <w:szCs w:val="20"/>
          <w:highlight w:val="none"/>
          <w:shd w:val="clear" w:color="auto" w:fill="FFFFFF"/>
          <w:lang w:val="en-US" w:eastAsia="zh-CN" w:bidi="ar"/>
        </w:rPr>
        <w:t>与上年执行数持平</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val="0"/>
          <w:bCs w:val="0"/>
          <w:sz w:val="32"/>
          <w:szCs w:val="32"/>
          <w:highlight w:val="none"/>
          <w:lang w:eastAsia="zh-CN"/>
        </w:rPr>
        <w:t>增加（减少）的主要原因是未安排预算。</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val="0"/>
          <w:bCs w:val="0"/>
          <w:color w:val="FF0000"/>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2022</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与</w:t>
      </w:r>
      <w:r>
        <w:rPr>
          <w:rFonts w:hint="eastAsia" w:ascii="仿宋_GB2312" w:eastAsia="仿宋_GB2312"/>
          <w:sz w:val="32"/>
          <w:szCs w:val="32"/>
          <w:highlight w:val="none"/>
        </w:rPr>
        <w:t>上年</w:t>
      </w:r>
      <w:r>
        <w:rPr>
          <w:rFonts w:hint="eastAsia" w:ascii="仿宋_GB2312" w:eastAsia="仿宋_GB2312"/>
          <w:sz w:val="32"/>
          <w:szCs w:val="32"/>
          <w:highlight w:val="none"/>
          <w:lang w:eastAsia="zh-CN"/>
        </w:rPr>
        <w:t>执行数持平</w:t>
      </w:r>
      <w:r>
        <w:rPr>
          <w:rFonts w:hint="eastAsia" w:ascii="仿宋_GB2312" w:eastAsia="仿宋_GB2312"/>
          <w:sz w:val="32"/>
          <w:szCs w:val="32"/>
          <w:highlight w:val="none"/>
        </w:rPr>
        <w:t>。其中，公务用车购置支出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万元（含购置税等附加费用），</w:t>
      </w:r>
      <w:r>
        <w:rPr>
          <w:rFonts w:hint="eastAsia" w:ascii="仿宋_GB2312" w:eastAsia="仿宋_GB2312"/>
          <w:sz w:val="32"/>
          <w:szCs w:val="32"/>
          <w:highlight w:val="none"/>
          <w:lang w:val="en-US" w:eastAsia="zh-CN"/>
        </w:rPr>
        <w:t>主要原因是</w:t>
      </w:r>
      <w:r>
        <w:rPr>
          <w:rFonts w:hint="eastAsia" w:ascii="仿宋_GB2312" w:eastAsia="仿宋_GB2312"/>
          <w:b w:val="0"/>
          <w:bCs w:val="0"/>
          <w:sz w:val="32"/>
          <w:szCs w:val="32"/>
          <w:highlight w:val="none"/>
          <w:lang w:eastAsia="zh-CN"/>
        </w:rPr>
        <w:t>未安排预算</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与上年执行数</w:t>
      </w:r>
      <w:r>
        <w:rPr>
          <w:rFonts w:hint="eastAsia" w:ascii="仿宋_GB2312" w:eastAsia="仿宋_GB2312"/>
          <w:b w:val="0"/>
          <w:bCs w:val="0"/>
          <w:sz w:val="32"/>
          <w:szCs w:val="32"/>
          <w:highlight w:val="none"/>
          <w:lang w:eastAsia="zh-CN"/>
        </w:rPr>
        <w:t>持平</w:t>
      </w:r>
      <w:r>
        <w:rPr>
          <w:rFonts w:hint="eastAsia" w:ascii="仿宋_GB2312" w:eastAsia="仿宋_GB2312"/>
          <w:b w:val="0"/>
          <w:bCs w:val="0"/>
          <w:sz w:val="32"/>
          <w:szCs w:val="32"/>
          <w:highlight w:val="none"/>
          <w:lang w:val="en-US" w:eastAsia="zh-CN"/>
        </w:rPr>
        <w:t>，</w:t>
      </w:r>
      <w:r>
        <w:rPr>
          <w:rFonts w:hint="eastAsia" w:ascii="仿宋_GB2312" w:eastAsia="仿宋_GB2312"/>
          <w:b w:val="0"/>
          <w:bCs w:val="0"/>
          <w:sz w:val="32"/>
          <w:szCs w:val="32"/>
          <w:highlight w:val="none"/>
          <w:lang w:eastAsia="zh-CN"/>
        </w:rPr>
        <w:t>主要原因是未安排预算。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1.政府采购情况。</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仿宋_GB2312" w:eastAsia="仿宋_GB2312"/>
          <w:color w:val="FF0000"/>
          <w:sz w:val="32"/>
          <w:szCs w:val="32"/>
          <w:highlight w:val="none"/>
          <w:u w:val="none"/>
          <w:lang w:val="en-US"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color w:val="000000"/>
          <w:sz w:val="32"/>
          <w:szCs w:val="32"/>
          <w:highlight w:val="none"/>
          <w:lang w:eastAsia="zh-CN"/>
        </w:rPr>
        <w:t>衢州市工人文化宫政府采购预算总额</w:t>
      </w:r>
      <w:r>
        <w:rPr>
          <w:rFonts w:hint="eastAsia" w:ascii="仿宋_GB2312" w:eastAsia="仿宋_GB2312"/>
          <w:color w:val="000000"/>
          <w:sz w:val="32"/>
          <w:szCs w:val="32"/>
          <w:highlight w:val="none"/>
          <w:lang w:val="en-US" w:eastAsia="zh-CN"/>
        </w:rPr>
        <w:t>17.7万元，其中：政府采购货物预算17万元、政府采购工程预算0万元、政府采购服务预算0.7万元。</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2.国有资产占有使用情况。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hAnsi="仿宋_GB2312" w:eastAsia="仿宋_GB2312" w:cs="仿宋_GB2312"/>
          <w:color w:val="auto"/>
          <w:spacing w:val="6"/>
          <w:sz w:val="32"/>
          <w:szCs w:val="32"/>
          <w:highlight w:val="none"/>
          <w:lang w:eastAsia="zh-CN"/>
        </w:rPr>
        <w:t>衢州市工人文化宫所属各预算单位共有车辆</w:t>
      </w:r>
      <w:r>
        <w:rPr>
          <w:rFonts w:hint="eastAsia" w:ascii="仿宋_GB2312" w:hAnsi="仿宋_GB2312" w:eastAsia="仿宋_GB2312" w:cs="仿宋_GB2312"/>
          <w:color w:val="auto"/>
          <w:sz w:val="32"/>
          <w:szCs w:val="32"/>
          <w:highlight w:val="none"/>
          <w:lang w:val="en-US" w:eastAsia="zh-CN"/>
        </w:rPr>
        <w:t xml:space="preserve">0辆，其中，省部级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2022年部门预算未安排购置车辆、单位价值50万元以上通用设备及单位价值100万元以上专用设备。</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3.预算绩效情况说明。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2022年衢州市工人文化宫其他运转类项目和特定目标类项目均实行绩效目标管理，涉及一般公共预算当年拨款0万元，一级项目1个。</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rPr>
          <w:rFonts w:hint="eastAsia" w:cs="仿宋_GB2312"/>
          <w:color w:val="auto"/>
          <w:sz w:val="32"/>
          <w:szCs w:val="32"/>
          <w:highlight w:val="none"/>
          <w:lang w:val="en-US" w:eastAsia="zh-CN"/>
        </w:rPr>
      </w:pPr>
      <w:r>
        <w:rPr>
          <w:rFonts w:hint="eastAsia" w:cs="仿宋_GB2312"/>
          <w:color w:val="auto"/>
          <w:sz w:val="32"/>
          <w:szCs w:val="32"/>
          <w:highlight w:val="none"/>
          <w:lang w:val="en-US" w:eastAsia="zh-CN"/>
        </w:rPr>
        <w:t xml:space="preserve">    13.文化旅游体育与传媒（类）文化和旅游（款）其他文化和旅游支出（项）：指其他用于文化和旅游方面的支出。</w:t>
      </w:r>
    </w:p>
    <w:p>
      <w:pPr>
        <w:pStyle w:val="2"/>
        <w:ind w:firstLine="640" w:firstLineChars="200"/>
        <w:rPr>
          <w:rFonts w:hint="eastAsia" w:cs="仿宋_GB2312"/>
          <w:color w:val="auto"/>
          <w:sz w:val="32"/>
          <w:szCs w:val="32"/>
          <w:highlight w:val="none"/>
          <w:lang w:val="en-US" w:eastAsia="zh-CN"/>
        </w:rPr>
      </w:pPr>
      <w:r>
        <w:rPr>
          <w:rFonts w:hint="eastAsia" w:cs="仿宋_GB2312"/>
          <w:color w:val="auto"/>
          <w:sz w:val="32"/>
          <w:szCs w:val="32"/>
          <w:highlight w:val="none"/>
          <w:lang w:val="en-US" w:eastAsia="zh-CN"/>
        </w:rPr>
        <w:t>14. 住房保障支出（类）住房改革支出（款）住房公积金（项）：指行政单位按人力社保和社会保障部、财政部规定的基本工资和津贴补贴以及规定比例为职工缴纳的住房公积金。</w:t>
      </w:r>
    </w:p>
    <w:p>
      <w:pPr>
        <w:pStyle w:val="2"/>
        <w:ind w:firstLine="640" w:firstLineChars="200"/>
        <w:rPr>
          <w:rFonts w:hint="eastAsia" w:cs="仿宋_GB2312"/>
          <w:color w:val="auto"/>
          <w:sz w:val="32"/>
          <w:szCs w:val="32"/>
          <w:highlight w:val="none"/>
          <w:lang w:val="en-US" w:eastAsia="zh-CN"/>
        </w:rPr>
      </w:pPr>
      <w:r>
        <w:rPr>
          <w:rFonts w:hint="eastAsia" w:cs="仿宋_GB2312"/>
          <w:color w:val="auto"/>
          <w:sz w:val="32"/>
          <w:szCs w:val="32"/>
          <w:highlight w:val="none"/>
          <w:lang w:val="en-US" w:eastAsia="zh-CN"/>
        </w:rPr>
        <w:t>15. 社会保险和就业支出（类）行政事业单位养老保险（款）机关事业单位基本养老保险缴费支出（项）：指机关事业单位实施养老保险制度由单位缴纳的基本养老保险费支出。</w:t>
      </w:r>
    </w:p>
    <w:p>
      <w:pPr>
        <w:pStyle w:val="2"/>
        <w:ind w:firstLine="640" w:firstLineChars="200"/>
        <w:rPr>
          <w:rFonts w:hint="eastAsia" w:cs="仿宋_GB2312"/>
          <w:color w:val="auto"/>
          <w:sz w:val="32"/>
          <w:szCs w:val="32"/>
          <w:highlight w:val="none"/>
          <w:lang w:val="en-US" w:eastAsia="zh-CN"/>
        </w:rPr>
      </w:pPr>
      <w:r>
        <w:rPr>
          <w:rFonts w:hint="eastAsia" w:cs="仿宋_GB2312"/>
          <w:color w:val="auto"/>
          <w:sz w:val="32"/>
          <w:szCs w:val="32"/>
          <w:highlight w:val="none"/>
          <w:lang w:val="en-US" w:eastAsia="zh-CN"/>
        </w:rPr>
        <w:t>16. 社会保险和就业支出（类）行政事业单位养老保险（款）机关事业单位职业年金缴费支出（项）：指机关事业单位实施养老保险制度由单位实际缴纳的职业年金支出。</w:t>
      </w:r>
    </w:p>
    <w:p>
      <w:pPr>
        <w:spacing w:line="520" w:lineRule="exact"/>
        <w:rPr>
          <w:highlight w:val="none"/>
        </w:rPr>
      </w:pPr>
      <w:bookmarkStart w:id="0" w:name="_GoBack"/>
      <w:bookmarkEnd w:id="0"/>
    </w:p>
    <w:sectPr>
      <w:headerReference r:id="rId3" w:type="default"/>
      <w:footerReference r:id="rId4"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dit="readOnly"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2483D"/>
    <w:rsid w:val="066303ED"/>
    <w:rsid w:val="0C014F6D"/>
    <w:rsid w:val="10BA2E08"/>
    <w:rsid w:val="11641E21"/>
    <w:rsid w:val="125B4450"/>
    <w:rsid w:val="16EF5067"/>
    <w:rsid w:val="1ED74D17"/>
    <w:rsid w:val="245B3CCB"/>
    <w:rsid w:val="255258CA"/>
    <w:rsid w:val="26E82133"/>
    <w:rsid w:val="27AF99D0"/>
    <w:rsid w:val="32FF21F7"/>
    <w:rsid w:val="336C035D"/>
    <w:rsid w:val="3787034C"/>
    <w:rsid w:val="378D1B30"/>
    <w:rsid w:val="3AFF98C2"/>
    <w:rsid w:val="3BF3290F"/>
    <w:rsid w:val="3E054CA0"/>
    <w:rsid w:val="3E663D4F"/>
    <w:rsid w:val="41260B4E"/>
    <w:rsid w:val="415A1C10"/>
    <w:rsid w:val="434B0F61"/>
    <w:rsid w:val="4413460B"/>
    <w:rsid w:val="479F1816"/>
    <w:rsid w:val="4AFA32A4"/>
    <w:rsid w:val="54C31518"/>
    <w:rsid w:val="56432923"/>
    <w:rsid w:val="5BF9A05E"/>
    <w:rsid w:val="5CA47F6C"/>
    <w:rsid w:val="63EE20F1"/>
    <w:rsid w:val="65DA2EDB"/>
    <w:rsid w:val="74F74835"/>
    <w:rsid w:val="753064B9"/>
    <w:rsid w:val="759C24D2"/>
    <w:rsid w:val="76442312"/>
    <w:rsid w:val="76DFF3BC"/>
    <w:rsid w:val="77FF0865"/>
    <w:rsid w:val="79755AE1"/>
    <w:rsid w:val="79AD5421"/>
    <w:rsid w:val="7CFB18E8"/>
    <w:rsid w:val="7DBFC2EB"/>
    <w:rsid w:val="7FE3062C"/>
    <w:rsid w:val="7FEA9658"/>
    <w:rsid w:val="8DFFD59C"/>
    <w:rsid w:val="9DFFDC38"/>
    <w:rsid w:val="A4EFBF90"/>
    <w:rsid w:val="BD67622B"/>
    <w:rsid w:val="CFFBB4AD"/>
    <w:rsid w:val="DDFD2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Char"/>
    <w:basedOn w:val="1"/>
    <w:link w:val="7"/>
    <w:qFormat/>
    <w:uiPriority w:val="0"/>
  </w:style>
  <w:style w:type="character" w:styleId="9">
    <w:name w:val="Strong"/>
    <w:basedOn w:val="7"/>
    <w:qFormat/>
    <w:uiPriority w:val="0"/>
    <w:rPr>
      <w:b/>
      <w:bCs/>
    </w:rPr>
  </w:style>
  <w:style w:type="character" w:styleId="10">
    <w:name w:val="page number"/>
    <w:basedOn w:val="7"/>
    <w:qFormat/>
    <w:uiPriority w:val="0"/>
  </w:style>
  <w:style w:type="character" w:styleId="11">
    <w:name w:val="FollowedHyperlink"/>
    <w:basedOn w:val="7"/>
    <w:qFormat/>
    <w:uiPriority w:val="0"/>
    <w:rPr>
      <w:color w:val="800080"/>
      <w:u w:val="none"/>
    </w:rPr>
  </w:style>
  <w:style w:type="character" w:styleId="12">
    <w:name w:val="HTML Definition"/>
    <w:basedOn w:val="7"/>
    <w:qFormat/>
    <w:uiPriority w:val="0"/>
  </w:style>
  <w:style w:type="character" w:styleId="13">
    <w:name w:val="HTML Variable"/>
    <w:basedOn w:val="7"/>
    <w:qFormat/>
    <w:uiPriority w:val="0"/>
  </w:style>
  <w:style w:type="character" w:styleId="14">
    <w:name w:val="Hyperlink"/>
    <w:basedOn w:val="7"/>
    <w:qFormat/>
    <w:uiPriority w:val="0"/>
    <w:rPr>
      <w:color w:val="0000FF"/>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paragraph" w:customStyle="1" w:styleId="17">
    <w:name w:val=" Char"/>
    <w:basedOn w:val="1"/>
    <w:link w:val="7"/>
    <w:qFormat/>
    <w:uiPriority w:val="0"/>
    <w:rPr>
      <w:rFonts w:ascii="宋体" w:hAnsi="宋体" w:cs="Courier New"/>
      <w:sz w:val="32"/>
      <w:szCs w:val="32"/>
    </w:rPr>
  </w:style>
  <w:style w:type="paragraph" w:customStyle="1" w:styleId="18">
    <w:name w:val="p0"/>
    <w:basedOn w:val="1"/>
    <w:qFormat/>
    <w:uiPriority w:val="0"/>
    <w:pPr>
      <w:widowControl/>
    </w:pPr>
    <w:rPr>
      <w:kern w:val="0"/>
      <w:szCs w:val="21"/>
    </w:rPr>
  </w:style>
  <w:style w:type="character" w:customStyle="1" w:styleId="19">
    <w:name w:val="item-middle"/>
    <w:basedOn w:val="7"/>
    <w:qFormat/>
    <w:uiPriority w:val="0"/>
  </w:style>
  <w:style w:type="character" w:customStyle="1" w:styleId="20">
    <w:name w:val="image"/>
    <w:basedOn w:val="7"/>
    <w:qFormat/>
    <w:uiPriority w:val="0"/>
  </w:style>
  <w:style w:type="character" w:customStyle="1" w:styleId="21">
    <w:name w:val="image2"/>
    <w:basedOn w:val="7"/>
    <w:qFormat/>
    <w:uiPriority w:val="0"/>
  </w:style>
  <w:style w:type="character" w:customStyle="1" w:styleId="22">
    <w:name w:val="image3"/>
    <w:basedOn w:val="7"/>
    <w:qFormat/>
    <w:uiPriority w:val="0"/>
  </w:style>
  <w:style w:type="character" w:customStyle="1" w:styleId="23">
    <w:name w:val="ui-state-hover21"/>
    <w:basedOn w:val="7"/>
    <w:qFormat/>
    <w:uiPriority w:val="0"/>
  </w:style>
  <w:style w:type="character" w:customStyle="1" w:styleId="24">
    <w:name w:val="ui-state-active5"/>
    <w:basedOn w:val="7"/>
    <w:qFormat/>
    <w:uiPriority w:val="0"/>
  </w:style>
  <w:style w:type="character" w:customStyle="1" w:styleId="25">
    <w:name w:val="ui-state-default12"/>
    <w:basedOn w:val="7"/>
    <w:qFormat/>
    <w:uiPriority w:val="0"/>
  </w:style>
  <w:style w:type="character" w:customStyle="1" w:styleId="26">
    <w:name w:val="ui-state-default13"/>
    <w:basedOn w:val="7"/>
    <w:qFormat/>
    <w:uiPriority w:val="0"/>
  </w:style>
  <w:style w:type="character" w:customStyle="1" w:styleId="27">
    <w:name w:val="clicked1"/>
    <w:basedOn w:val="7"/>
    <w:qFormat/>
    <w:uiPriority w:val="0"/>
    <w:rPr>
      <w:color w:val="000000"/>
    </w:rPr>
  </w:style>
  <w:style w:type="character" w:customStyle="1" w:styleId="28">
    <w:name w:val="clicked2"/>
    <w:basedOn w:val="7"/>
    <w:qFormat/>
    <w:uiPriority w:val="0"/>
  </w:style>
  <w:style w:type="character" w:customStyle="1" w:styleId="29">
    <w:name w:val="clicked3"/>
    <w:basedOn w:val="7"/>
    <w:qFormat/>
    <w:uiPriority w:val="0"/>
  </w:style>
  <w:style w:type="character" w:customStyle="1" w:styleId="30">
    <w:name w:val="button-hover"/>
    <w:basedOn w:val="7"/>
    <w:qFormat/>
    <w:uiPriority w:val="0"/>
  </w:style>
  <w:style w:type="character" w:customStyle="1" w:styleId="31">
    <w:name w:val="button-hover1"/>
    <w:basedOn w:val="7"/>
    <w:qFormat/>
    <w:uiPriority w:val="0"/>
  </w:style>
  <w:style w:type="character" w:customStyle="1" w:styleId="32">
    <w:name w:val="group"/>
    <w:basedOn w:val="7"/>
    <w:qFormat/>
    <w:uiPriority w:val="0"/>
  </w:style>
  <w:style w:type="character" w:customStyle="1" w:styleId="33">
    <w:name w:val="directchildrenspan"/>
    <w:basedOn w:val="7"/>
    <w:qFormat/>
    <w:uiPriority w:val="0"/>
  </w:style>
  <w:style w:type="character" w:customStyle="1" w:styleId="34">
    <w:name w:val="imgspan"/>
    <w:basedOn w:val="7"/>
    <w:qFormat/>
    <w:uiPriority w:val="0"/>
  </w:style>
  <w:style w:type="character" w:customStyle="1" w:styleId="35">
    <w:name w:val="ui-icon34"/>
    <w:basedOn w:val="7"/>
    <w:qFormat/>
    <w:uiPriority w:val="0"/>
  </w:style>
  <w:style w:type="character" w:customStyle="1" w:styleId="36">
    <w:name w:val="newstitle"/>
    <w:basedOn w:val="7"/>
    <w:qFormat/>
    <w:uiPriority w:val="0"/>
    <w:rPr>
      <w:b/>
      <w:color w:val="000000"/>
      <w:sz w:val="24"/>
      <w:szCs w:val="24"/>
    </w:rPr>
  </w:style>
  <w:style w:type="character" w:customStyle="1" w:styleId="37">
    <w:name w:val="ui-state-hover"/>
    <w:basedOn w:val="7"/>
    <w:qFormat/>
    <w:uiPriority w:val="0"/>
  </w:style>
  <w:style w:type="character" w:customStyle="1" w:styleId="38">
    <w:name w:val="image1"/>
    <w:basedOn w:val="7"/>
    <w:qFormat/>
    <w:uiPriority w:val="0"/>
  </w:style>
  <w:style w:type="character" w:customStyle="1" w:styleId="39">
    <w:name w:val="clicked"/>
    <w:basedOn w:val="7"/>
    <w:qFormat/>
    <w:uiPriority w:val="0"/>
  </w:style>
  <w:style w:type="character" w:customStyle="1" w:styleId="40">
    <w:name w:val="ui-state-active"/>
    <w:basedOn w:val="7"/>
    <w:qFormat/>
    <w:uiPriority w:val="0"/>
  </w:style>
  <w:style w:type="character" w:customStyle="1" w:styleId="41">
    <w:name w:val="ui-icon33"/>
    <w:basedOn w:val="7"/>
    <w:qFormat/>
    <w:uiPriority w:val="0"/>
  </w:style>
  <w:style w:type="character" w:customStyle="1" w:styleId="42">
    <w:name w:val="ui-state-active6"/>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2014-11-02T12:08:00Z</dcterms:created>
  <dc:creator>chengws</dc:creator>
  <cp:lastModifiedBy>quzhou</cp:lastModifiedBy>
  <cp:lastPrinted>2022-05-25T10:33:00Z</cp:lastPrinted>
  <dcterms:modified xsi:type="dcterms:W3CDTF">2022-06-22T10:04:08Z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