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lang w:eastAsia="zh-CN"/>
        </w:rPr>
      </w:pPr>
      <w:r>
        <w:rPr>
          <w:rFonts w:hint="eastAsia" w:ascii="方正小标宋简体" w:hAnsi="方正小标宋简体" w:eastAsia="方正小标宋简体" w:cs="方正小标宋简体"/>
          <w:bCs/>
          <w:spacing w:val="15"/>
          <w:sz w:val="44"/>
          <w:szCs w:val="44"/>
          <w:highlight w:val="none"/>
          <w:lang w:eastAsia="zh-CN"/>
        </w:rPr>
        <w:t>衢州市工人文化宫</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年部门</w:t>
      </w:r>
      <w:r>
        <w:rPr>
          <w:rFonts w:hint="eastAsia" w:ascii="方正小标宋简体" w:hAnsi="方正小标宋简体" w:eastAsia="方正小标宋简体" w:cs="方正小标宋简体"/>
          <w:bCs/>
          <w:spacing w:val="15"/>
          <w:sz w:val="44"/>
          <w:szCs w:val="44"/>
          <w:highlight w:val="none"/>
          <w:lang w:eastAsia="zh-CN"/>
        </w:rPr>
        <w:t>（</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衢州市工人文化宫</w:t>
      </w:r>
      <w:r>
        <w:rPr>
          <w:rStyle w:val="9"/>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640" w:firstLineChars="0"/>
        <w:textAlignment w:val="auto"/>
        <w:outlineLvl w:val="9"/>
        <w:rPr>
          <w:rFonts w:hint="eastAsia" w:ascii="仿宋_GB2312" w:hAnsi="Times New Roman" w:eastAsia="仿宋_GB2312" w:cs="Times New Roman"/>
          <w:b w:val="0"/>
          <w:bCs/>
          <w:color w:val="000000"/>
          <w:sz w:val="32"/>
          <w:szCs w:val="32"/>
          <w:highlight w:val="none"/>
          <w:lang w:val="en-US" w:eastAsia="zh-CN"/>
        </w:rPr>
      </w:pPr>
      <w:r>
        <w:rPr>
          <w:rFonts w:hint="eastAsia" w:ascii="仿宋_GB2312" w:hAnsi="Times New Roman" w:eastAsia="仿宋_GB2312" w:cs="Times New Roman"/>
          <w:b w:val="0"/>
          <w:bCs/>
          <w:color w:val="000000"/>
          <w:sz w:val="32"/>
          <w:szCs w:val="32"/>
          <w:highlight w:val="none"/>
          <w:lang w:val="en-US" w:eastAsia="zh-CN"/>
        </w:rPr>
        <w:t>围绕党和工会的中心工作，宣传党的路线、方针、政策，对职工进行爱国主义、集体主义、社会主义教育和民主、法制、纪律教育；负责全市专兼职工会干部岗位规范化培训和适应性岗位培训；组织职工、农民工开展各类培训工作，组织广大职工开展各类群众文化体育活动，丰富职工群众的业余文化生活；收集整理职工艺术创作资料，服务保障柯城区两会、市两会及其他各种政府会议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640" w:firstLineChars="0"/>
        <w:textAlignment w:val="auto"/>
        <w:outlineLvl w:val="9"/>
        <w:rPr>
          <w:rFonts w:hint="eastAsia" w:ascii="仿宋_GB2312" w:hAnsi="Times New Roman" w:eastAsia="仿宋_GB2312" w:cs="Times New Roman"/>
          <w:b w:val="0"/>
          <w:bCs/>
          <w:color w:val="000000"/>
          <w:sz w:val="32"/>
          <w:szCs w:val="32"/>
          <w:highlight w:val="none"/>
          <w:lang w:val="en-US"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衢州市工人文化宫机构</w:t>
      </w:r>
      <w:r>
        <w:rPr>
          <w:rFonts w:hint="eastAsia" w:ascii="仿宋_GB2312" w:hAnsi="Times New Roman" w:eastAsia="仿宋_GB2312" w:cs="Times New Roman"/>
          <w:b w:val="0"/>
          <w:bCs/>
          <w:color w:val="000000"/>
          <w:sz w:val="32"/>
          <w:szCs w:val="32"/>
          <w:highlight w:val="none"/>
          <w:lang w:val="en-US" w:eastAsia="zh-CN"/>
        </w:rPr>
        <w:t>设有：办公室、宣教科、剧管科及职工教育活动中心。本单位机构规格相当于正科级，经费形式为财政定额补助，核定编制人数15人，现实有在编在职人数9人。编外人员5人。定为准社会公益类事业单位。</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2022</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衢州市工人文化宫</w:t>
      </w:r>
      <w:r>
        <w:rPr>
          <w:rStyle w:val="9"/>
          <w:rFonts w:hint="eastAsia" w:ascii="黑体" w:eastAsia="黑体"/>
          <w:b w:val="0"/>
          <w:color w:val="000000"/>
          <w:sz w:val="32"/>
          <w:szCs w:val="32"/>
          <w:highlight w:val="none"/>
        </w:rPr>
        <w:t>部门</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lang w:val="en-US" w:eastAsia="zh-CN"/>
        </w:rPr>
        <w:t>单位</w:t>
      </w:r>
      <w:r>
        <w:rPr>
          <w:rStyle w:val="9"/>
          <w:rFonts w:hint="eastAsia" w:ascii="黑体" w:eastAsia="黑体"/>
          <w:b w:val="0"/>
          <w:color w:val="000000"/>
          <w:sz w:val="32"/>
          <w:szCs w:val="32"/>
          <w:highlight w:val="none"/>
          <w:lang w:eastAsia="zh-CN"/>
        </w:rPr>
        <w:t>）</w:t>
      </w:r>
      <w:r>
        <w:rPr>
          <w:rStyle w:val="9"/>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Style w:val="9"/>
          <w:rFonts w:hint="eastAsia" w:ascii="楷体_GB2312" w:hAnsi="楷体_GB2312" w:eastAsia="楷体_GB2312" w:cs="楷体_GB2312"/>
          <w:b w:val="0"/>
          <w:bCs w:val="0"/>
          <w:color w:val="000000"/>
          <w:sz w:val="32"/>
          <w:szCs w:val="32"/>
          <w:highlight w:val="none"/>
          <w:lang w:val="en-US" w:eastAsia="zh-CN"/>
        </w:rPr>
        <w:t>2022</w:t>
      </w:r>
      <w:r>
        <w:rPr>
          <w:rStyle w:val="9"/>
          <w:rFonts w:hint="eastAsia" w:ascii="楷体_GB2312" w:hAnsi="楷体_GB2312" w:eastAsia="楷体_GB2312" w:cs="楷体_GB2312"/>
          <w:b w:val="0"/>
          <w:bCs w:val="0"/>
          <w:color w:val="000000"/>
          <w:sz w:val="32"/>
          <w:szCs w:val="32"/>
          <w:highlight w:val="none"/>
        </w:rPr>
        <w:t>年</w:t>
      </w:r>
      <w:r>
        <w:rPr>
          <w:rStyle w:val="9"/>
          <w:rFonts w:hint="eastAsia" w:ascii="楷体_GB2312" w:hAnsi="楷体_GB2312" w:eastAsia="楷体_GB2312" w:cs="楷体_GB2312"/>
          <w:b w:val="0"/>
          <w:bCs w:val="0"/>
          <w:color w:val="000000"/>
          <w:sz w:val="32"/>
          <w:szCs w:val="32"/>
          <w:highlight w:val="none"/>
          <w:lang w:eastAsia="zh-CN"/>
        </w:rPr>
        <w:t>收支预算情况的总体说明</w:t>
      </w:r>
      <w:r>
        <w:rPr>
          <w:rFonts w:hint="eastAsia" w:ascii="楷体_GB2312" w:hAnsi="楷体_GB2312" w:eastAsia="楷体_GB2312" w:cs="楷体_GB2312"/>
          <w:b/>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衢州市工人文化宫所有收入和支出均纳入部门（</w:t>
      </w:r>
      <w:r>
        <w:rPr>
          <w:rFonts w:hint="eastAsia" w:ascii="仿宋_GB2312" w:eastAsia="仿宋_GB2312"/>
          <w:color w:val="000000"/>
          <w:sz w:val="32"/>
          <w:szCs w:val="32"/>
          <w:highlight w:val="none"/>
          <w:lang w:val="en-US" w:eastAsia="zh-CN"/>
        </w:rPr>
        <w:t>单位</w:t>
      </w:r>
      <w:r>
        <w:rPr>
          <w:rFonts w:hint="eastAsia" w:ascii="仿宋_GB2312" w:eastAsia="仿宋_GB2312"/>
          <w:color w:val="000000"/>
          <w:sz w:val="32"/>
          <w:szCs w:val="32"/>
          <w:highlight w:val="none"/>
          <w:lang w:eastAsia="zh-CN"/>
        </w:rPr>
        <w:t>）预算管理。收入包括：一般公共预算拨款收入、事业收入（不含专户资金）；支出包括：文化旅游体育与传媒支出、社会保障和就业支出、住房保障支出。衢州市工人文化宫</w:t>
      </w:r>
      <w:r>
        <w:rPr>
          <w:rFonts w:hint="eastAsia" w:ascii="仿宋_GB2312" w:eastAsia="仿宋_GB2312"/>
          <w:color w:val="000000"/>
          <w:sz w:val="32"/>
          <w:szCs w:val="32"/>
          <w:highlight w:val="none"/>
          <w:lang w:val="en-US" w:eastAsia="zh-CN"/>
        </w:rPr>
        <w:t>2022年收支总预算369.48万元。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年收入预算</w:t>
      </w:r>
      <w:r>
        <w:rPr>
          <w:rFonts w:hint="eastAsia" w:ascii="仿宋_GB2312" w:hAnsi="仿宋_GB2312" w:eastAsia="仿宋_GB2312" w:cs="仿宋_GB2312"/>
          <w:color w:val="000000"/>
          <w:sz w:val="32"/>
          <w:szCs w:val="32"/>
          <w:highlight w:val="none"/>
          <w:lang w:val="en-US" w:eastAsia="zh-CN"/>
        </w:rPr>
        <w:t>369.48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16.93万元，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w:t>
      </w:r>
      <w:r>
        <w:rPr>
          <w:rFonts w:hint="eastAsia" w:ascii="仿宋_GB2312" w:hAnsi="仿宋_GB2312" w:eastAsia="仿宋_GB2312" w:cs="仿宋_GB2312"/>
          <w:color w:val="000000"/>
          <w:sz w:val="32"/>
          <w:highlight w:val="none"/>
          <w:lang w:val="en-US" w:eastAsia="zh-CN"/>
        </w:rPr>
        <w:t>4.81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主要是事业收入有所增长。</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9.48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334.48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90.53</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369.48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w:t>
      </w:r>
      <w:r>
        <w:rPr>
          <w:rFonts w:hint="eastAsia" w:ascii="仿宋_GB2312" w:hAnsi="仿宋_GB2312" w:eastAsia="仿宋_GB2312" w:cs="仿宋_GB2312"/>
          <w:color w:val="000000"/>
          <w:sz w:val="32"/>
          <w:szCs w:val="32"/>
          <w:highlight w:val="none"/>
          <w:lang w:val="en-US" w:eastAsia="zh-CN"/>
        </w:rPr>
        <w:t>加16.93万元，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4.81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主要是项目支出有所增长。</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val="en-US" w:eastAsia="zh-CN"/>
        </w:rPr>
        <w:t>322.91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19.64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26.93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250.43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67.77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23.05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6.24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96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25.99</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2022年财政拨款收支总预算35万元。收入包括：一般公共预算35万元。</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2022年一般公共预算当年拨款35万元，与上年执行数持平。</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文化旅游体育与传媒（类）支出</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）文化旅游体育与传媒支出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文化和旅游</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其他文化和旅游支出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在职人员支出</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35万元，其中：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35</w:t>
      </w:r>
      <w:r>
        <w:rPr>
          <w:rFonts w:hint="eastAsia" w:ascii="仿宋_GB2312" w:eastAsia="仿宋_GB2312" w:cs="Times New Roman"/>
          <w:b w:val="0"/>
          <w:color w:val="000000"/>
          <w:sz w:val="32"/>
          <w:szCs w:val="32"/>
          <w:highlight w:val="none"/>
          <w:lang w:val="en-US" w:eastAsia="zh-CN"/>
        </w:rPr>
        <w:t>万元，主要包括：基本工资、绩效工资。</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2022年没有使用政府性基金预算拨款安排的支出。</w:t>
      </w:r>
    </w:p>
    <w:p>
      <w:pPr>
        <w:keepNext w:val="0"/>
        <w:keepLines w:val="0"/>
        <w:pageBreakBefore w:val="0"/>
        <w:kinsoku/>
        <w:wordWrap/>
        <w:overflowPunct/>
        <w:topLinePunct w:val="0"/>
        <w:autoSpaceDE w:val="0"/>
        <w:autoSpaceDN w:val="0"/>
        <w:bidi w:val="0"/>
        <w:adjustRightInd w:val="0"/>
        <w:snapToGrid/>
        <w:spacing w:line="520" w:lineRule="exact"/>
        <w:ind w:leftChars="200"/>
        <w:jc w:val="left"/>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477" w:leftChars="227" w:right="0" w:rightChars="0" w:firstLine="0" w:firstLineChars="0"/>
        <w:textAlignment w:val="auto"/>
        <w:outlineLvl w:val="9"/>
        <w:rPr>
          <w:rFonts w:hint="eastAsia"/>
        </w:rPr>
      </w:pP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Style w:val="9"/>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keepNext w:val="0"/>
        <w:keepLines w:val="0"/>
        <w:pageBreakBefore w:val="0"/>
        <w:kinsoku/>
        <w:wordWrap/>
        <w:overflowPunct/>
        <w:topLinePunct w:val="0"/>
        <w:bidi w:val="0"/>
        <w:snapToGrid/>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b w:val="0"/>
          <w:bCs w:val="0"/>
          <w:color w:val="FF0000"/>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未安排预算</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与上年执行数</w:t>
      </w:r>
      <w:r>
        <w:rPr>
          <w:rFonts w:hint="eastAsia" w:ascii="仿宋_GB2312" w:eastAsia="仿宋_GB2312"/>
          <w:b w:val="0"/>
          <w:bCs w:val="0"/>
          <w:sz w:val="32"/>
          <w:szCs w:val="32"/>
          <w:highlight w:val="none"/>
          <w:lang w:eastAsia="zh-CN"/>
        </w:rPr>
        <w:t>持平</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主要原因是未安排预算。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1.政府采购情况。</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default" w:ascii="仿宋_GB2312" w:eastAsia="仿宋_GB2312"/>
          <w:color w:val="FF0000"/>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eastAsia="仿宋_GB2312"/>
          <w:color w:val="000000"/>
          <w:sz w:val="32"/>
          <w:szCs w:val="32"/>
          <w:highlight w:val="none"/>
          <w:lang w:eastAsia="zh-CN"/>
        </w:rPr>
        <w:t>衢州市工人文化宫政府采购预算总额</w:t>
      </w:r>
      <w:r>
        <w:rPr>
          <w:rFonts w:hint="eastAsia" w:ascii="仿宋_GB2312" w:eastAsia="仿宋_GB2312"/>
          <w:color w:val="000000"/>
          <w:sz w:val="32"/>
          <w:szCs w:val="32"/>
          <w:highlight w:val="none"/>
          <w:lang w:val="en-US" w:eastAsia="zh-CN"/>
        </w:rPr>
        <w:t>17.7万元，其中：政府采购货物预算17万元、政府采购工程预算0万元、政府采购服务预算0.7万元。</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2.国有资产占有使用情况。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衢州市工人文化宫所属各预算单位共有车辆</w:t>
      </w:r>
      <w:r>
        <w:rPr>
          <w:rFonts w:hint="eastAsia" w:ascii="仿宋_GB2312" w:hAnsi="仿宋_GB2312" w:eastAsia="仿宋_GB2312" w:cs="仿宋_GB2312"/>
          <w:color w:val="auto"/>
          <w:sz w:val="32"/>
          <w:szCs w:val="32"/>
          <w:highlight w:val="none"/>
          <w:lang w:val="en-US" w:eastAsia="zh-CN"/>
        </w:rPr>
        <w:t xml:space="preserve">0辆，其中，省部级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3.预算绩效情况说明。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2022年衢州市工人文化宫其他运转类项目和特定目标类项目均实行绩效目标管理，涉及一般公共预算当年拨款0万元，一级项目1个。</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 xml:space="preserve">    13.文化旅游体育与传媒（类）文化和旅游（款）其他文化和旅游支出（项）：指其他用于文化和旅游方面的支出。</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14. 住房保障支出（类）住房改革支出（款）住房公积金（项）：指行政单位按人力社保和社会保障部、财政部规定的基本工资和津贴补贴以及规定比例为职工缴纳的住房公积金。</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15. 社会保险和就业支出（类）行政事业单位养老保险（款）机关事业单位基本养老保险缴费支出（项）：指机关事业单位实施养老保险制度由单位缴纳的基本养老保险费支出。</w:t>
      </w:r>
    </w:p>
    <w:p>
      <w:pPr>
        <w:pStyle w:val="2"/>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16. 社会保险和就业支出（类）行政事业单位养老保险（款）机关事业单位职业年金缴费支出（项）：指机关事业单位实施养老保险制度由单位实际缴纳的职业年金支出。</w:t>
      </w:r>
    </w:p>
    <w:p>
      <w:pPr>
        <w:spacing w:line="520" w:lineRule="exact"/>
        <w:rPr>
          <w:highlight w:val="none"/>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83D"/>
    <w:rsid w:val="066303ED"/>
    <w:rsid w:val="0C014F6D"/>
    <w:rsid w:val="10BA2E08"/>
    <w:rsid w:val="11641E21"/>
    <w:rsid w:val="125B4450"/>
    <w:rsid w:val="16EF5067"/>
    <w:rsid w:val="1ED74D17"/>
    <w:rsid w:val="245B3CCB"/>
    <w:rsid w:val="255258CA"/>
    <w:rsid w:val="26E82133"/>
    <w:rsid w:val="27AF99D0"/>
    <w:rsid w:val="32FF21F7"/>
    <w:rsid w:val="336C035D"/>
    <w:rsid w:val="3787034C"/>
    <w:rsid w:val="378D1B30"/>
    <w:rsid w:val="3AFF98C2"/>
    <w:rsid w:val="3BF3290F"/>
    <w:rsid w:val="3E054CA0"/>
    <w:rsid w:val="3E663D4F"/>
    <w:rsid w:val="41260B4E"/>
    <w:rsid w:val="415A1C10"/>
    <w:rsid w:val="434B0F61"/>
    <w:rsid w:val="4413460B"/>
    <w:rsid w:val="479F1816"/>
    <w:rsid w:val="4AFA32A4"/>
    <w:rsid w:val="54C31518"/>
    <w:rsid w:val="56432923"/>
    <w:rsid w:val="5BF9A05E"/>
    <w:rsid w:val="5CA47F6C"/>
    <w:rsid w:val="63EE20F1"/>
    <w:rsid w:val="65DA2EDB"/>
    <w:rsid w:val="74F74835"/>
    <w:rsid w:val="753064B9"/>
    <w:rsid w:val="759C24D2"/>
    <w:rsid w:val="76442312"/>
    <w:rsid w:val="76DFF3BC"/>
    <w:rsid w:val="77FF0865"/>
    <w:rsid w:val="79755AE1"/>
    <w:rsid w:val="79AD5421"/>
    <w:rsid w:val="7CFB18E8"/>
    <w:rsid w:val="7DBFC2EB"/>
    <w:rsid w:val="7FE3062C"/>
    <w:rsid w:val="7FEA9658"/>
    <w:rsid w:val="8DFFD59C"/>
    <w:rsid w:val="9DFFDC38"/>
    <w:rsid w:val="A4EFBF90"/>
    <w:rsid w:val="BD67622B"/>
    <w:rsid w:val="CFFBB4AD"/>
    <w:rsid w:val="DDFD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 Char"/>
    <w:basedOn w:val="1"/>
    <w:link w:val="7"/>
    <w:qFormat/>
    <w:uiPriority w:val="0"/>
    <w:rPr>
      <w:rFonts w:ascii="宋体" w:hAnsi="宋体" w:cs="Courier New"/>
      <w:sz w:val="32"/>
      <w:szCs w:val="32"/>
    </w:rPr>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chengws</dc:creator>
  <cp:lastModifiedBy>quzhou</cp:lastModifiedBy>
  <cp:lastPrinted>2022-05-25T10:33:00Z</cp:lastPrinted>
  <dcterms:modified xsi:type="dcterms:W3CDTF">2022-06-22T10:04:08Z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